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799" w:rsidRPr="00F353B8" w:rsidRDefault="00990799" w:rsidP="00CB796B">
      <w:pPr>
        <w:pStyle w:val="32"/>
        <w:spacing w:after="0"/>
        <w:ind w:firstLine="284"/>
        <w:jc w:val="center"/>
        <w:outlineLvl w:val="0"/>
        <w:rPr>
          <w:b/>
          <w:sz w:val="24"/>
          <w:szCs w:val="24"/>
        </w:rPr>
      </w:pPr>
      <w:r w:rsidRPr="00F353B8">
        <w:rPr>
          <w:b/>
          <w:sz w:val="24"/>
          <w:szCs w:val="24"/>
        </w:rPr>
        <w:t>АНАЛІТИЧНА ДОВІДКА</w:t>
      </w:r>
      <w:r w:rsidR="000F25FE" w:rsidRPr="00F353B8">
        <w:rPr>
          <w:b/>
          <w:sz w:val="24"/>
          <w:szCs w:val="24"/>
        </w:rPr>
        <w:t xml:space="preserve"> ЗА</w:t>
      </w:r>
      <w:r w:rsidR="00CB7F67" w:rsidRPr="00F353B8">
        <w:rPr>
          <w:b/>
          <w:sz w:val="24"/>
          <w:szCs w:val="24"/>
        </w:rPr>
        <w:t>СІЧЕНЬ</w:t>
      </w:r>
      <w:r w:rsidR="0055564F">
        <w:rPr>
          <w:b/>
          <w:sz w:val="24"/>
          <w:szCs w:val="24"/>
        </w:rPr>
        <w:t>-</w:t>
      </w:r>
      <w:r w:rsidR="00A84969">
        <w:rPr>
          <w:b/>
          <w:sz w:val="24"/>
          <w:szCs w:val="24"/>
        </w:rPr>
        <w:t>ЛИПЕНЬ</w:t>
      </w:r>
      <w:r w:rsidR="00CB7F67" w:rsidRPr="00F353B8">
        <w:rPr>
          <w:b/>
          <w:sz w:val="24"/>
          <w:szCs w:val="24"/>
        </w:rPr>
        <w:t xml:space="preserve"> 201</w:t>
      </w:r>
      <w:r w:rsidR="004877A9">
        <w:rPr>
          <w:b/>
          <w:sz w:val="24"/>
          <w:szCs w:val="24"/>
        </w:rPr>
        <w:t>6</w:t>
      </w:r>
      <w:r w:rsidR="009915C6">
        <w:rPr>
          <w:b/>
          <w:sz w:val="24"/>
          <w:szCs w:val="24"/>
        </w:rPr>
        <w:t xml:space="preserve"> </w:t>
      </w:r>
      <w:bookmarkStart w:id="0" w:name="_GoBack"/>
      <w:bookmarkEnd w:id="0"/>
      <w:r w:rsidR="00717932" w:rsidRPr="00F353B8">
        <w:rPr>
          <w:b/>
          <w:sz w:val="24"/>
          <w:szCs w:val="24"/>
        </w:rPr>
        <w:t>Р</w:t>
      </w:r>
      <w:r w:rsidR="00CB7F67" w:rsidRPr="00F353B8">
        <w:rPr>
          <w:b/>
          <w:sz w:val="24"/>
          <w:szCs w:val="24"/>
        </w:rPr>
        <w:t>О</w:t>
      </w:r>
      <w:r w:rsidR="00B234E3" w:rsidRPr="00F353B8">
        <w:rPr>
          <w:b/>
          <w:sz w:val="24"/>
          <w:szCs w:val="24"/>
        </w:rPr>
        <w:t>К</w:t>
      </w:r>
      <w:r w:rsidR="00CB7F67" w:rsidRPr="00F353B8">
        <w:rPr>
          <w:b/>
          <w:sz w:val="24"/>
          <w:szCs w:val="24"/>
        </w:rPr>
        <w:t>У</w:t>
      </w:r>
    </w:p>
    <w:p w:rsidR="00B046B4" w:rsidRDefault="00990799" w:rsidP="00CB796B">
      <w:pPr>
        <w:pStyle w:val="32"/>
        <w:spacing w:after="0"/>
        <w:ind w:firstLine="540"/>
        <w:jc w:val="center"/>
        <w:rPr>
          <w:b/>
          <w:sz w:val="24"/>
          <w:szCs w:val="24"/>
        </w:rPr>
      </w:pPr>
      <w:r w:rsidRPr="00F353B8">
        <w:rPr>
          <w:b/>
          <w:sz w:val="24"/>
          <w:szCs w:val="24"/>
        </w:rPr>
        <w:t>ЩОДО ЕКОНОМІЧНОГО РОЗВИТКУ ВІННИЦЬКОЇ ОБЛАСТІ</w:t>
      </w:r>
    </w:p>
    <w:p w:rsidR="00C573CC" w:rsidRPr="00F353B8" w:rsidRDefault="00C573CC" w:rsidP="00CB796B">
      <w:pPr>
        <w:pStyle w:val="32"/>
        <w:spacing w:after="0"/>
        <w:ind w:firstLine="540"/>
        <w:jc w:val="center"/>
        <w:rPr>
          <w:b/>
          <w:i/>
          <w:sz w:val="24"/>
          <w:szCs w:val="24"/>
          <w:u w:val="single"/>
        </w:rPr>
      </w:pPr>
      <w:r w:rsidRPr="00F353B8">
        <w:rPr>
          <w:b/>
          <w:i/>
          <w:sz w:val="24"/>
          <w:szCs w:val="24"/>
          <w:u w:val="single"/>
        </w:rPr>
        <w:t>За даними та методикою розрахунків</w:t>
      </w:r>
    </w:p>
    <w:p w:rsidR="003F72CE" w:rsidRPr="00F353B8" w:rsidRDefault="00C573CC" w:rsidP="00CB796B">
      <w:pPr>
        <w:pStyle w:val="32"/>
        <w:spacing w:after="0"/>
        <w:ind w:firstLine="540"/>
        <w:jc w:val="center"/>
        <w:rPr>
          <w:b/>
          <w:i/>
          <w:sz w:val="24"/>
          <w:szCs w:val="24"/>
          <w:u w:val="single"/>
        </w:rPr>
      </w:pPr>
      <w:r w:rsidRPr="00F353B8">
        <w:rPr>
          <w:b/>
          <w:i/>
          <w:sz w:val="24"/>
          <w:szCs w:val="24"/>
          <w:u w:val="single"/>
        </w:rPr>
        <w:t>Головного управління статистики у Вінницькій області</w:t>
      </w:r>
    </w:p>
    <w:p w:rsidR="00990799" w:rsidRPr="00F353B8" w:rsidRDefault="00990799" w:rsidP="00CB796B">
      <w:pPr>
        <w:pStyle w:val="32"/>
        <w:spacing w:after="0"/>
        <w:ind w:firstLine="284"/>
        <w:jc w:val="center"/>
        <w:outlineLvl w:val="0"/>
        <w:rPr>
          <w:b/>
          <w:sz w:val="24"/>
          <w:szCs w:val="24"/>
        </w:rPr>
      </w:pPr>
    </w:p>
    <w:p w:rsidR="00990799" w:rsidRPr="00F353B8" w:rsidRDefault="00990799" w:rsidP="00CB796B">
      <w:pPr>
        <w:pStyle w:val="Iniiaiieoaeno"/>
        <w:spacing w:line="240" w:lineRule="auto"/>
        <w:ind w:firstLine="284"/>
        <w:jc w:val="center"/>
        <w:outlineLvl w:val="0"/>
        <w:rPr>
          <w:b/>
          <w:sz w:val="24"/>
          <w:szCs w:val="24"/>
          <w:lang w:val="uk-UA"/>
        </w:rPr>
      </w:pPr>
      <w:r w:rsidRPr="00F353B8">
        <w:rPr>
          <w:b/>
          <w:sz w:val="24"/>
          <w:szCs w:val="24"/>
          <w:lang w:val="uk-UA"/>
        </w:rPr>
        <w:t>ПРОМИСЛОВЕ ВИРОБНИЦТВО</w:t>
      </w:r>
    </w:p>
    <w:tbl>
      <w:tblPr>
        <w:tblW w:w="107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9050"/>
      </w:tblGrid>
      <w:tr w:rsidR="00CB796B" w:rsidRPr="000B6CFB" w:rsidTr="00421ED8">
        <w:trPr>
          <w:trHeight w:val="835"/>
        </w:trPr>
        <w:tc>
          <w:tcPr>
            <w:tcW w:w="1702" w:type="dxa"/>
            <w:tcBorders>
              <w:bottom w:val="single" w:sz="4" w:space="0" w:color="auto"/>
            </w:tcBorders>
            <w:shd w:val="clear" w:color="auto" w:fill="auto"/>
          </w:tcPr>
          <w:p w:rsidR="00A87DC3" w:rsidRPr="000B6CFB" w:rsidRDefault="00990799" w:rsidP="00CB796B">
            <w:pPr>
              <w:snapToGrid w:val="0"/>
              <w:rPr>
                <w:b/>
                <w:i/>
              </w:rPr>
            </w:pPr>
            <w:r w:rsidRPr="000B6CFB">
              <w:rPr>
                <w:b/>
                <w:i/>
              </w:rPr>
              <w:t>Аналіз роботи галузей промисловості</w:t>
            </w:r>
          </w:p>
          <w:p w:rsidR="00990799" w:rsidRPr="000B6CFB" w:rsidRDefault="00990799" w:rsidP="00CB796B">
            <w:pPr>
              <w:jc w:val="center"/>
            </w:pPr>
          </w:p>
        </w:tc>
        <w:tc>
          <w:tcPr>
            <w:tcW w:w="9050" w:type="dxa"/>
            <w:tcBorders>
              <w:bottom w:val="single" w:sz="4" w:space="0" w:color="auto"/>
            </w:tcBorders>
            <w:shd w:val="clear" w:color="auto" w:fill="auto"/>
            <w:vAlign w:val="center"/>
          </w:tcPr>
          <w:p w:rsidR="00584EE2" w:rsidRPr="000B6CFB" w:rsidRDefault="00584EE2" w:rsidP="00584EE2">
            <w:pPr>
              <w:suppressAutoHyphens/>
              <w:ind w:firstLine="709"/>
              <w:jc w:val="both"/>
              <w:rPr>
                <w:bCs/>
                <w:iCs/>
              </w:rPr>
            </w:pPr>
            <w:r w:rsidRPr="000B6CFB">
              <w:rPr>
                <w:bCs/>
                <w:iCs/>
              </w:rPr>
              <w:t>За інформацією Головного управління статистики у Вінницькій області за 7 місяців поточного року у роботі промислових підприємств області відбулось незначне покращення динаміки виробництва продукції.</w:t>
            </w:r>
          </w:p>
          <w:p w:rsidR="00584EE2" w:rsidRPr="000B6CFB" w:rsidRDefault="00584EE2" w:rsidP="00584EE2">
            <w:pPr>
              <w:suppressAutoHyphens/>
              <w:ind w:firstLine="709"/>
              <w:jc w:val="both"/>
              <w:rPr>
                <w:bCs/>
                <w:iCs/>
              </w:rPr>
            </w:pPr>
            <w:r w:rsidRPr="000B6CFB">
              <w:rPr>
                <w:bCs/>
                <w:iCs/>
              </w:rPr>
              <w:t xml:space="preserve">Так, у зрівнянні з періодом січня-червня 2016 року скоротилось відставання темпів виробництва від минулорічних обсягів на 0,5 в. п. </w:t>
            </w:r>
          </w:p>
          <w:p w:rsidR="00584EE2" w:rsidRPr="000B6CFB" w:rsidRDefault="00584EE2" w:rsidP="00584EE2">
            <w:pPr>
              <w:suppressAutoHyphens/>
              <w:ind w:firstLine="709"/>
              <w:jc w:val="both"/>
              <w:rPr>
                <w:bCs/>
                <w:iCs/>
              </w:rPr>
            </w:pPr>
            <w:r w:rsidRPr="000B6CFB">
              <w:rPr>
                <w:bCs/>
                <w:iCs/>
              </w:rPr>
              <w:t>Проти відповідного періоду 2015 року зниження обсягів виробництва промислової продукції склало 0,6%.</w:t>
            </w:r>
          </w:p>
          <w:p w:rsidR="00584EE2" w:rsidRPr="000B6CFB" w:rsidRDefault="00584EE2" w:rsidP="00584EE2">
            <w:pPr>
              <w:suppressAutoHyphens/>
              <w:ind w:firstLine="709"/>
              <w:jc w:val="both"/>
              <w:rPr>
                <w:bCs/>
                <w:iCs/>
              </w:rPr>
            </w:pPr>
            <w:r w:rsidRPr="000B6CFB">
              <w:rPr>
                <w:bCs/>
                <w:iCs/>
              </w:rPr>
              <w:t>У переробній промисловості спостерігається зростання промислового виробництва на 8,7% (за рахунок збільшення обсягів виробництва харчової галузі на 8,3%, фармацевтичної продукції на 34,4%, будівельних матеріалів – на 20,5%, продукції машинобудування – на 57,4%, продукції деревообробної промисловості – на 8,5%).</w:t>
            </w:r>
          </w:p>
          <w:p w:rsidR="00584EE2" w:rsidRPr="000B6CFB" w:rsidRDefault="00584EE2" w:rsidP="00584EE2">
            <w:pPr>
              <w:suppressAutoHyphens/>
              <w:ind w:firstLine="709"/>
              <w:jc w:val="both"/>
              <w:rPr>
                <w:bCs/>
                <w:iCs/>
              </w:rPr>
            </w:pPr>
            <w:r w:rsidRPr="000B6CFB">
              <w:rPr>
                <w:bCs/>
                <w:iCs/>
              </w:rPr>
              <w:t>У постачанні електроенергії, газу, пари та кондиційованого повітря обсяги ще не досягають рівня минулорічного відповідного періоду на 23,2%, хоча за липень місяць відставання скоротилось на 2,6 в. п.</w:t>
            </w:r>
          </w:p>
          <w:p w:rsidR="00584EE2" w:rsidRPr="000B6CFB" w:rsidRDefault="00584EE2" w:rsidP="00584EE2">
            <w:pPr>
              <w:suppressAutoHyphens/>
              <w:ind w:firstLine="709"/>
              <w:jc w:val="both"/>
              <w:rPr>
                <w:bCs/>
                <w:iCs/>
              </w:rPr>
            </w:pPr>
            <w:r w:rsidRPr="000B6CFB">
              <w:rPr>
                <w:bCs/>
                <w:iCs/>
              </w:rPr>
              <w:t>За індексом промислового виробництва серед областей України область посідає 18 місце (по Україні індекс промислового виробництва склав 101,7%).</w:t>
            </w:r>
          </w:p>
          <w:p w:rsidR="00584EE2" w:rsidRPr="000B6CFB" w:rsidRDefault="00584EE2" w:rsidP="00584EE2">
            <w:pPr>
              <w:suppressAutoHyphens/>
              <w:ind w:firstLine="709"/>
              <w:jc w:val="both"/>
              <w:rPr>
                <w:bCs/>
                <w:iCs/>
              </w:rPr>
            </w:pPr>
          </w:p>
          <w:p w:rsidR="00584EE2" w:rsidRPr="000B6CFB" w:rsidRDefault="00584EE2" w:rsidP="00584EE2">
            <w:pPr>
              <w:suppressAutoHyphens/>
              <w:ind w:firstLine="709"/>
              <w:jc w:val="both"/>
              <w:rPr>
                <w:bCs/>
                <w:iCs/>
              </w:rPr>
            </w:pPr>
            <w:r w:rsidRPr="000B6CFB">
              <w:rPr>
                <w:b/>
                <w:bCs/>
                <w:iCs/>
              </w:rPr>
              <w:t>У добувній промисловості і розробленні кар’єрів</w:t>
            </w:r>
            <w:r w:rsidRPr="000B6CFB">
              <w:rPr>
                <w:bCs/>
                <w:iCs/>
              </w:rPr>
              <w:t xml:space="preserve"> обсяги виробництва не досягли рівня січня–липня 2015 року на 17,6%. У січні–червні 2016 року добувними підприємствами області реалізовано промислової продукції (товарів, послуг) на суму 419,2 млн. грн., що становить 1,9% від середньообласного рівня.</w:t>
            </w:r>
          </w:p>
          <w:p w:rsidR="00584EE2" w:rsidRPr="000B6CFB" w:rsidRDefault="00584EE2" w:rsidP="00584EE2">
            <w:pPr>
              <w:suppressAutoHyphens/>
              <w:ind w:firstLine="709"/>
              <w:jc w:val="both"/>
              <w:rPr>
                <w:bCs/>
                <w:iCs/>
              </w:rPr>
            </w:pPr>
            <w:r w:rsidRPr="000B6CFB">
              <w:rPr>
                <w:b/>
                <w:bCs/>
                <w:iCs/>
              </w:rPr>
              <w:t>На підприємствах з виробництва харчових продуктів, напоїв</w:t>
            </w:r>
            <w:r w:rsidRPr="000B6CFB">
              <w:rPr>
                <w:bCs/>
                <w:iCs/>
              </w:rPr>
              <w:t xml:space="preserve"> індекс промислової продукції січня–липня 2016 року до відповідного періоду попереднього року становив 108,3%. Питома вага галузі в обсязі реалізованої продукції області за цей період склала 65,1%.</w:t>
            </w:r>
          </w:p>
          <w:p w:rsidR="00584EE2" w:rsidRPr="000B6CFB" w:rsidRDefault="00584EE2" w:rsidP="00584EE2">
            <w:pPr>
              <w:suppressAutoHyphens/>
              <w:ind w:firstLine="709"/>
              <w:jc w:val="both"/>
              <w:rPr>
                <w:bCs/>
                <w:iCs/>
              </w:rPr>
            </w:pPr>
            <w:r w:rsidRPr="000B6CFB">
              <w:rPr>
                <w:b/>
                <w:bCs/>
                <w:iCs/>
              </w:rPr>
              <w:t>На підприємствах легкої галузі</w:t>
            </w:r>
            <w:r w:rsidRPr="000B6CFB">
              <w:rPr>
                <w:bCs/>
                <w:iCs/>
              </w:rPr>
              <w:t>, питома вага якої в загальнообласному показнику реалізації продукції (далі: питома вага) складає 0,5%, обсяги виробництва продукції не досягли рівня січня–липня 2015 року на 4,7%.</w:t>
            </w:r>
          </w:p>
          <w:p w:rsidR="00584EE2" w:rsidRPr="000B6CFB" w:rsidRDefault="00584EE2" w:rsidP="00584EE2">
            <w:pPr>
              <w:suppressAutoHyphens/>
              <w:ind w:firstLine="709"/>
              <w:jc w:val="both"/>
              <w:rPr>
                <w:bCs/>
                <w:iCs/>
              </w:rPr>
            </w:pPr>
            <w:r w:rsidRPr="000B6CFB">
              <w:rPr>
                <w:b/>
                <w:bCs/>
                <w:iCs/>
              </w:rPr>
              <w:t>На підприємствах з виготовлення виробів з деревини</w:t>
            </w:r>
            <w:r w:rsidRPr="000B6CFB">
              <w:rPr>
                <w:bCs/>
                <w:iCs/>
              </w:rPr>
              <w:t>, виробництва паперу та поліграфічній діяльності (питома вага 4,3%) обсяги виробництва січня–липня 2016 року перевищили рівень відповідного періоду попереднього року на 8,5%.</w:t>
            </w:r>
          </w:p>
          <w:p w:rsidR="00584EE2" w:rsidRPr="000B6CFB" w:rsidRDefault="00584EE2" w:rsidP="00584EE2">
            <w:pPr>
              <w:suppressAutoHyphens/>
              <w:ind w:firstLine="709"/>
              <w:jc w:val="both"/>
              <w:rPr>
                <w:bCs/>
                <w:iCs/>
              </w:rPr>
            </w:pPr>
            <w:r w:rsidRPr="000B6CFB">
              <w:rPr>
                <w:b/>
                <w:bCs/>
                <w:iCs/>
              </w:rPr>
              <w:t>У виробництві хімічних речовин і хімічної продукції</w:t>
            </w:r>
            <w:r w:rsidRPr="000B6CFB">
              <w:rPr>
                <w:bCs/>
                <w:iCs/>
              </w:rPr>
              <w:t xml:space="preserve"> (питома вага 3,3%) виробництво продукції січня–липня 2016 року не досягло рівня відповідного періоду минулого року на 35,2%.). </w:t>
            </w:r>
          </w:p>
          <w:p w:rsidR="00584EE2" w:rsidRPr="000B6CFB" w:rsidRDefault="00584EE2" w:rsidP="00584EE2">
            <w:pPr>
              <w:suppressAutoHyphens/>
              <w:ind w:firstLine="709"/>
              <w:jc w:val="both"/>
              <w:rPr>
                <w:bCs/>
                <w:iCs/>
              </w:rPr>
            </w:pPr>
            <w:r w:rsidRPr="000B6CFB">
              <w:rPr>
                <w:b/>
                <w:bCs/>
                <w:iCs/>
              </w:rPr>
              <w:t>На підприємствах з виробництва основних фармацевтичних продуктів</w:t>
            </w:r>
            <w:r w:rsidRPr="000B6CFB">
              <w:rPr>
                <w:bCs/>
                <w:iCs/>
              </w:rPr>
              <w:t xml:space="preserve"> і фармацевтичних препаратів (питома вага 0,9%) збільшено виробництво у січні–липні 2016 року на 34,4%.</w:t>
            </w:r>
          </w:p>
          <w:p w:rsidR="00584EE2" w:rsidRPr="000B6CFB" w:rsidRDefault="00584EE2" w:rsidP="00584EE2">
            <w:pPr>
              <w:suppressAutoHyphens/>
              <w:ind w:firstLine="709"/>
              <w:jc w:val="both"/>
              <w:rPr>
                <w:bCs/>
                <w:iCs/>
              </w:rPr>
            </w:pPr>
            <w:r w:rsidRPr="000B6CFB">
              <w:rPr>
                <w:b/>
                <w:bCs/>
                <w:iCs/>
              </w:rPr>
              <w:t>На підприємствах з виробництва гумових, пластмасових виробів та продукції для будівельної галузі</w:t>
            </w:r>
            <w:r w:rsidRPr="000B6CFB">
              <w:rPr>
                <w:bCs/>
                <w:iCs/>
              </w:rPr>
              <w:t xml:space="preserve"> у січні–липні 2016 року обсяги виробництва в порівнянні з відповідним періодом 2015 року зросли на 20,5%.</w:t>
            </w:r>
          </w:p>
          <w:p w:rsidR="00584EE2" w:rsidRPr="000B6CFB" w:rsidRDefault="00584EE2" w:rsidP="00584EE2">
            <w:pPr>
              <w:suppressAutoHyphens/>
              <w:ind w:firstLine="709"/>
              <w:jc w:val="both"/>
              <w:rPr>
                <w:bCs/>
                <w:iCs/>
              </w:rPr>
            </w:pPr>
            <w:r w:rsidRPr="000B6CFB">
              <w:rPr>
                <w:b/>
                <w:bCs/>
                <w:iCs/>
              </w:rPr>
              <w:t>Обсяги продукції металообробних підприємств</w:t>
            </w:r>
            <w:r w:rsidRPr="000B6CFB">
              <w:rPr>
                <w:bCs/>
                <w:iCs/>
              </w:rPr>
              <w:t xml:space="preserve"> у січні–липні 2016 року у порівнянні з відповідним періодом 2015 року не досягли минулорічного рівня відповідного періоду на 1,4%.</w:t>
            </w:r>
          </w:p>
          <w:p w:rsidR="00584EE2" w:rsidRPr="000B6CFB" w:rsidRDefault="00584EE2" w:rsidP="00584EE2">
            <w:pPr>
              <w:suppressAutoHyphens/>
              <w:ind w:firstLine="709"/>
              <w:jc w:val="both"/>
              <w:rPr>
                <w:bCs/>
                <w:iCs/>
              </w:rPr>
            </w:pPr>
            <w:r w:rsidRPr="000B6CFB">
              <w:rPr>
                <w:b/>
                <w:bCs/>
                <w:iCs/>
              </w:rPr>
              <w:t>На машинобудівних підприємствах</w:t>
            </w:r>
            <w:r w:rsidRPr="000B6CFB">
              <w:rPr>
                <w:bCs/>
                <w:iCs/>
              </w:rPr>
              <w:t xml:space="preserve"> у цей період обсяги виробництва продукції зросли на 57,5%.</w:t>
            </w:r>
          </w:p>
          <w:p w:rsidR="00584EE2" w:rsidRPr="000B6CFB" w:rsidRDefault="00584EE2" w:rsidP="00584EE2">
            <w:pPr>
              <w:suppressAutoHyphens/>
              <w:ind w:firstLine="709"/>
              <w:jc w:val="both"/>
              <w:rPr>
                <w:bCs/>
                <w:iCs/>
              </w:rPr>
            </w:pPr>
            <w:r w:rsidRPr="000B6CFB">
              <w:rPr>
                <w:b/>
                <w:bCs/>
                <w:iCs/>
              </w:rPr>
              <w:t>На підприємствах з постачання електроенергії, газу</w:t>
            </w:r>
            <w:r w:rsidRPr="000B6CFB">
              <w:rPr>
                <w:bCs/>
                <w:iCs/>
              </w:rPr>
              <w:t xml:space="preserve"> пари та кондиційованого повітря обсяги продукції у січні–липні 2016 року не досягли відповідного рівня 2015 року на 23,2%.</w:t>
            </w:r>
          </w:p>
          <w:p w:rsidR="00584EE2" w:rsidRPr="000B6CFB" w:rsidRDefault="00584EE2" w:rsidP="00584EE2">
            <w:pPr>
              <w:suppressAutoHyphens/>
              <w:ind w:firstLine="709"/>
              <w:jc w:val="both"/>
              <w:rPr>
                <w:bCs/>
                <w:iCs/>
              </w:rPr>
            </w:pPr>
            <w:r w:rsidRPr="000B6CFB">
              <w:rPr>
                <w:bCs/>
                <w:iCs/>
              </w:rPr>
              <w:lastRenderedPageBreak/>
              <w:t xml:space="preserve">За звітний період поточного року вироблено </w:t>
            </w:r>
            <w:r w:rsidRPr="000B6CFB">
              <w:rPr>
                <w:bCs/>
                <w:iCs/>
                <w:lang w:val="ru-RU"/>
              </w:rPr>
              <w:t>2357</w:t>
            </w:r>
            <w:r w:rsidRPr="000B6CFB">
              <w:rPr>
                <w:bCs/>
                <w:iCs/>
              </w:rPr>
              <w:t xml:space="preserve"> млн. кВт. год. електроенергії, що на </w:t>
            </w:r>
            <w:r w:rsidRPr="000B6CFB">
              <w:rPr>
                <w:bCs/>
                <w:iCs/>
                <w:lang w:val="ru-RU"/>
              </w:rPr>
              <w:t>32,1</w:t>
            </w:r>
            <w:r w:rsidRPr="000B6CFB">
              <w:rPr>
                <w:bCs/>
                <w:iCs/>
              </w:rPr>
              <w:t xml:space="preserve">% менше рівня відповідного періоду попереднього року. Однак, слід зауважити, що за </w:t>
            </w:r>
            <w:r w:rsidRPr="000B6CFB">
              <w:rPr>
                <w:bCs/>
                <w:iCs/>
                <w:lang w:val="ru-RU"/>
              </w:rPr>
              <w:t>7</w:t>
            </w:r>
            <w:r w:rsidRPr="000B6CFB">
              <w:rPr>
                <w:bCs/>
                <w:iCs/>
              </w:rPr>
              <w:t xml:space="preserve"> місяців 2016 року відбулось скорочення відставання від відповідного минулорічного періоду у зрівнянні з півріччям поточного року на 2,6 в. п.</w:t>
            </w:r>
          </w:p>
          <w:p w:rsidR="00461AB6" w:rsidRPr="00247B0B" w:rsidRDefault="00461AB6" w:rsidP="00461AB6">
            <w:pPr>
              <w:tabs>
                <w:tab w:val="left" w:pos="0"/>
              </w:tabs>
              <w:ind w:firstLine="720"/>
            </w:pPr>
            <w:r w:rsidRPr="00247B0B">
              <w:t>У січні-липні 2016 року підприємствами області реалізовано промислової продукції (товарів, послуг) на суму 25895,4 млн. грн. Частка області у загальнодержавному обсязі складає 2,8%. Обсяг реалізованої промислової продукції на одну особу населення за звітний  період становить 16120,5 грн.</w:t>
            </w:r>
          </w:p>
          <w:p w:rsidR="00461AB6" w:rsidRPr="00247B0B" w:rsidRDefault="00461AB6" w:rsidP="00461AB6">
            <w:pPr>
              <w:tabs>
                <w:tab w:val="left" w:pos="0"/>
              </w:tabs>
              <w:ind w:firstLine="720"/>
            </w:pPr>
            <w:r w:rsidRPr="00247B0B">
              <w:t xml:space="preserve">В структурі обсягів реалізованої промислової продукції найбільша частка (81,3%) припадає на переробну промисловість, з неї: 64,7% – на виробництво харчових продуктів, напоїв, 4,2% – на виготовлення виробів з деревини та поліграфічну діяльність, 3,2% – на виробництво хімічних речовин і хімічної продукції, 4,7% - на підприємства металообробки та машинобудування. </w:t>
            </w:r>
          </w:p>
          <w:p w:rsidR="00870EE9" w:rsidRPr="000B6CFB" w:rsidRDefault="00461AB6" w:rsidP="00AF5918">
            <w:pPr>
              <w:tabs>
                <w:tab w:val="left" w:pos="0"/>
              </w:tabs>
              <w:ind w:firstLine="720"/>
              <w:rPr>
                <w:bCs/>
                <w:iCs/>
              </w:rPr>
            </w:pPr>
            <w:r w:rsidRPr="00247B0B">
              <w:t>Підприємствами з виробництва та постачання електроенергії, газу, пари та кондиційованого повітря реалізується 16,1% продукції.</w:t>
            </w:r>
          </w:p>
        </w:tc>
      </w:tr>
      <w:tr w:rsidR="00CB796B" w:rsidRPr="000B6CFB" w:rsidTr="0023057C">
        <w:trPr>
          <w:trHeight w:val="80"/>
        </w:trPr>
        <w:tc>
          <w:tcPr>
            <w:tcW w:w="10752" w:type="dxa"/>
            <w:gridSpan w:val="2"/>
            <w:tcBorders>
              <w:left w:val="nil"/>
              <w:right w:val="nil"/>
            </w:tcBorders>
          </w:tcPr>
          <w:p w:rsidR="00870EE9" w:rsidRPr="000B6CFB" w:rsidRDefault="00870EE9" w:rsidP="00870EE9">
            <w:pPr>
              <w:tabs>
                <w:tab w:val="left" w:pos="3400"/>
                <w:tab w:val="center" w:pos="5191"/>
              </w:tabs>
              <w:snapToGrid w:val="0"/>
              <w:rPr>
                <w:b/>
              </w:rPr>
            </w:pPr>
          </w:p>
          <w:p w:rsidR="002A4EC4" w:rsidRPr="000B6CFB" w:rsidRDefault="002A4EC4" w:rsidP="00CB796B">
            <w:pPr>
              <w:tabs>
                <w:tab w:val="left" w:pos="3400"/>
                <w:tab w:val="center" w:pos="5191"/>
              </w:tabs>
              <w:snapToGrid w:val="0"/>
              <w:jc w:val="center"/>
              <w:rPr>
                <w:b/>
              </w:rPr>
            </w:pPr>
            <w:r w:rsidRPr="000B6CFB">
              <w:rPr>
                <w:b/>
              </w:rPr>
              <w:t>МАЛЕ ПІДПРИЄМНИЦТВО</w:t>
            </w:r>
          </w:p>
        </w:tc>
      </w:tr>
      <w:tr w:rsidR="00CB796B" w:rsidRPr="000B6CFB" w:rsidTr="00184795">
        <w:trPr>
          <w:trHeight w:val="991"/>
        </w:trPr>
        <w:tc>
          <w:tcPr>
            <w:tcW w:w="1702" w:type="dxa"/>
            <w:tcBorders>
              <w:bottom w:val="single" w:sz="4" w:space="0" w:color="auto"/>
            </w:tcBorders>
          </w:tcPr>
          <w:p w:rsidR="002A4EC4" w:rsidRPr="000B6CFB" w:rsidRDefault="002A4EC4" w:rsidP="00CB796B">
            <w:pPr>
              <w:pStyle w:val="32"/>
              <w:snapToGrid w:val="0"/>
              <w:spacing w:after="0"/>
              <w:rPr>
                <w:b/>
                <w:i/>
                <w:sz w:val="24"/>
                <w:szCs w:val="24"/>
              </w:rPr>
            </w:pPr>
            <w:r w:rsidRPr="000B6CFB">
              <w:rPr>
                <w:b/>
                <w:i/>
                <w:sz w:val="24"/>
                <w:szCs w:val="24"/>
              </w:rPr>
              <w:t>Мале підприємництво</w:t>
            </w:r>
          </w:p>
        </w:tc>
        <w:tc>
          <w:tcPr>
            <w:tcW w:w="9050" w:type="dxa"/>
            <w:tcBorders>
              <w:bottom w:val="single" w:sz="4" w:space="0" w:color="auto"/>
            </w:tcBorders>
          </w:tcPr>
          <w:p w:rsidR="006040AC" w:rsidRPr="000B6CFB" w:rsidRDefault="006040AC" w:rsidP="006040AC">
            <w:pPr>
              <w:suppressAutoHyphens/>
              <w:ind w:firstLine="709"/>
              <w:jc w:val="both"/>
            </w:pPr>
            <w:r w:rsidRPr="000B6CFB">
              <w:t>За даними моніторингу у січні-червні 2016 року започаткували діяльність 4177 новостворених суб’єктів господарювання,  що на 25,1% більше  порівняно з відповідним періодом 2015 року, із яких 726 – юридичні особи (</w:t>
            </w:r>
            <w:r w:rsidRPr="000B6CFB">
              <w:rPr>
                <w:i/>
              </w:rPr>
              <w:t>на 20,8% більше)</w:t>
            </w:r>
            <w:r w:rsidRPr="000B6CFB">
              <w:t xml:space="preserve"> та 3451 – фізична особа-підприємець </w:t>
            </w:r>
            <w:r w:rsidRPr="000B6CFB">
              <w:rPr>
                <w:i/>
              </w:rPr>
              <w:t>(на 26,0% більше)</w:t>
            </w:r>
            <w:r w:rsidRPr="000B6CFB">
              <w:t>.</w:t>
            </w:r>
          </w:p>
          <w:p w:rsidR="006040AC" w:rsidRPr="000B6CFB" w:rsidRDefault="006040AC" w:rsidP="006040AC">
            <w:pPr>
              <w:suppressAutoHyphens/>
              <w:ind w:firstLine="709"/>
              <w:jc w:val="both"/>
            </w:pPr>
            <w:r w:rsidRPr="000B6CFB">
              <w:t>Одночасно припинили господарську діяльність 2944 суб’єктів господарювання (171</w:t>
            </w:r>
            <w:r w:rsidRPr="000B6CFB">
              <w:rPr>
                <w:i/>
              </w:rPr>
              <w:t xml:space="preserve"> – юридична особа та  2773 – фізичних осіб-підприємців</w:t>
            </w:r>
            <w:r w:rsidRPr="000B6CFB">
              <w:t xml:space="preserve">), що  </w:t>
            </w:r>
            <w:r w:rsidRPr="000B6CFB">
              <w:rPr>
                <w:i/>
              </w:rPr>
              <w:t>в 2,5  рази  менше</w:t>
            </w:r>
            <w:r w:rsidRPr="000B6CFB">
              <w:t xml:space="preserve"> порівняно з відповідним періодом 2015 року.</w:t>
            </w:r>
          </w:p>
          <w:p w:rsidR="006040AC" w:rsidRPr="000B6CFB" w:rsidRDefault="006040AC" w:rsidP="006040AC">
            <w:pPr>
              <w:suppressAutoHyphens/>
              <w:ind w:firstLine="709"/>
              <w:jc w:val="both"/>
            </w:pPr>
            <w:r w:rsidRPr="000B6CFB">
              <w:t xml:space="preserve">Найбільше новостворених суб’єктів господарювання  юридичних осіб в м. Вінниці  - 431, або 59,3 % від загальної кількості новостворених юридичних осіб, у Калинівському районі - 36, або 5,0%, у Вінницькому  районі – 21, або 2,8%, у Барському районі – 19, або 2,6%,. </w:t>
            </w:r>
          </w:p>
          <w:p w:rsidR="006040AC" w:rsidRPr="000B6CFB" w:rsidRDefault="006040AC" w:rsidP="006040AC">
            <w:pPr>
              <w:suppressAutoHyphens/>
              <w:ind w:firstLine="709"/>
              <w:jc w:val="both"/>
            </w:pPr>
            <w:r w:rsidRPr="000B6CFB">
              <w:t xml:space="preserve">Найбільше новостворених фізичних осіб – підприємців: серед районів у Вінницькому (5,6% від загальної кількості  новостворених  фізичних  осіб -підприємців), Гайсинському районі – 4,5%, Калинівському районі – 3,6%,  Тульчинському районі – 3,1%,  Барському районі – 2,8%, </w:t>
            </w:r>
          </w:p>
          <w:p w:rsidR="006040AC" w:rsidRPr="000B6CFB" w:rsidRDefault="006040AC" w:rsidP="006040AC">
            <w:pPr>
              <w:suppressAutoHyphens/>
              <w:ind w:firstLine="709"/>
              <w:jc w:val="both"/>
              <w:rPr>
                <w:lang w:val="ru-RU"/>
              </w:rPr>
            </w:pPr>
            <w:r w:rsidRPr="000B6CFB">
              <w:rPr>
                <w:lang w:val="ru-RU"/>
              </w:rPr>
              <w:t xml:space="preserve">Середмістобласногозначення: у м.Вінниці - 37,0%, м.Могилів-Подільському – 3,2%.  </w:t>
            </w:r>
          </w:p>
          <w:p w:rsidR="006040AC" w:rsidRPr="000B6CFB" w:rsidRDefault="006040AC" w:rsidP="006040AC">
            <w:pPr>
              <w:suppressAutoHyphens/>
              <w:ind w:firstLine="709"/>
              <w:jc w:val="both"/>
            </w:pPr>
            <w:r w:rsidRPr="000B6CFB">
              <w:t xml:space="preserve"> Надходження до місцевого бюджету від суб’єктів малого підприємництва, які працювали за спрощеною системою оподаткування (єдиний податок) у  І півріччі 2016 року майже на 73,8 млн.грн. більше, ніж у І півріччі 2015 року і вони складають 213,0 млн.грн. або 10,8% від загальної суми надходжень до місцевих бюджетів. При цьому, кількість одиниць на єдиному  податку збільшилась на  1444 особи (або на 3,6%) і складає 41037 осіб (39593). </w:t>
            </w:r>
          </w:p>
          <w:p w:rsidR="002A4EC4" w:rsidRPr="000B6CFB" w:rsidRDefault="002A4EC4" w:rsidP="0000432A">
            <w:pPr>
              <w:suppressAutoHyphens/>
              <w:ind w:firstLine="459"/>
              <w:jc w:val="both"/>
            </w:pPr>
          </w:p>
        </w:tc>
      </w:tr>
      <w:tr w:rsidR="00184795" w:rsidRPr="000B6CFB" w:rsidTr="00AF5918">
        <w:trPr>
          <w:trHeight w:val="418"/>
        </w:trPr>
        <w:tc>
          <w:tcPr>
            <w:tcW w:w="1702" w:type="dxa"/>
            <w:tcBorders>
              <w:top w:val="single" w:sz="4" w:space="0" w:color="auto"/>
              <w:bottom w:val="single" w:sz="4" w:space="0" w:color="auto"/>
              <w:right w:val="nil"/>
            </w:tcBorders>
          </w:tcPr>
          <w:p w:rsidR="00184795" w:rsidRPr="000B6CFB" w:rsidRDefault="00184795" w:rsidP="00CB796B">
            <w:pPr>
              <w:pStyle w:val="32"/>
              <w:snapToGrid w:val="0"/>
              <w:spacing w:after="0"/>
              <w:rPr>
                <w:b/>
                <w:i/>
                <w:sz w:val="24"/>
                <w:szCs w:val="24"/>
              </w:rPr>
            </w:pPr>
          </w:p>
        </w:tc>
        <w:tc>
          <w:tcPr>
            <w:tcW w:w="9050" w:type="dxa"/>
            <w:tcBorders>
              <w:top w:val="single" w:sz="4" w:space="0" w:color="auto"/>
              <w:left w:val="nil"/>
              <w:bottom w:val="single" w:sz="4" w:space="0" w:color="auto"/>
            </w:tcBorders>
          </w:tcPr>
          <w:p w:rsidR="00184795" w:rsidRPr="000B6CFB" w:rsidRDefault="00184795" w:rsidP="00184795">
            <w:pPr>
              <w:suppressAutoHyphens/>
              <w:spacing w:after="240"/>
              <w:jc w:val="center"/>
            </w:pPr>
            <w:r w:rsidRPr="000B6CFB">
              <w:rPr>
                <w:b/>
              </w:rPr>
              <w:t xml:space="preserve">ЗОВНІШНЬОТОРГОВЕЛЬНА ДІЯЛЬНІСТЬ </w:t>
            </w:r>
          </w:p>
        </w:tc>
      </w:tr>
      <w:tr w:rsidR="00184795" w:rsidRPr="000B6CFB" w:rsidTr="00545027">
        <w:trPr>
          <w:trHeight w:val="841"/>
        </w:trPr>
        <w:tc>
          <w:tcPr>
            <w:tcW w:w="1702" w:type="dxa"/>
            <w:tcBorders>
              <w:bottom w:val="single" w:sz="4" w:space="0" w:color="auto"/>
            </w:tcBorders>
          </w:tcPr>
          <w:p w:rsidR="00184795" w:rsidRPr="000B6CFB" w:rsidRDefault="00184795" w:rsidP="00184795">
            <w:pPr>
              <w:pStyle w:val="32"/>
              <w:snapToGrid w:val="0"/>
              <w:spacing w:after="0"/>
              <w:rPr>
                <w:b/>
                <w:i/>
                <w:sz w:val="24"/>
                <w:szCs w:val="24"/>
              </w:rPr>
            </w:pPr>
            <w:r w:rsidRPr="000B6CFB">
              <w:rPr>
                <w:b/>
                <w:i/>
                <w:sz w:val="24"/>
                <w:szCs w:val="24"/>
              </w:rPr>
              <w:t>Зовнішньоторговельна діяльність</w:t>
            </w:r>
          </w:p>
        </w:tc>
        <w:tc>
          <w:tcPr>
            <w:tcW w:w="9050" w:type="dxa"/>
            <w:tcBorders>
              <w:bottom w:val="single" w:sz="4" w:space="0" w:color="auto"/>
            </w:tcBorders>
          </w:tcPr>
          <w:p w:rsidR="00A84969" w:rsidRPr="000B6CFB" w:rsidRDefault="00A84969" w:rsidP="00A84969">
            <w:pPr>
              <w:suppressAutoHyphens/>
              <w:ind w:firstLine="709"/>
              <w:jc w:val="both"/>
              <w:rPr>
                <w:bCs/>
              </w:rPr>
            </w:pPr>
            <w:r w:rsidRPr="000B6CFB">
              <w:t>За інформацією Г</w:t>
            </w:r>
            <w:r w:rsidRPr="00510CE1">
              <w:t xml:space="preserve">оловного управління статистики у Вінницькій області </w:t>
            </w:r>
            <w:r w:rsidRPr="000B6CFB">
              <w:t>о</w:t>
            </w:r>
            <w:r w:rsidRPr="00510CE1">
              <w:t xml:space="preserve">бсяги експорту товарівза І </w:t>
            </w:r>
            <w:r w:rsidRPr="000B6CFB">
              <w:t>півріччя</w:t>
            </w:r>
            <w:r w:rsidRPr="00510CE1">
              <w:t xml:space="preserve"> 2016р. становили </w:t>
            </w:r>
            <w:r w:rsidRPr="000B6CFB">
              <w:t>353,1</w:t>
            </w:r>
            <w:r w:rsidRPr="00510CE1">
              <w:t xml:space="preserve"> млн.дол. США, а імпорту – </w:t>
            </w:r>
            <w:r w:rsidRPr="000B6CFB">
              <w:t>134,9</w:t>
            </w:r>
            <w:r w:rsidRPr="00510CE1">
              <w:t xml:space="preserve">млн.дол. Порівняно із І </w:t>
            </w:r>
            <w:r w:rsidRPr="000B6CFB">
              <w:t>півріччям</w:t>
            </w:r>
            <w:r w:rsidRPr="00510CE1">
              <w:t xml:space="preserve"> 2015р. експорт скоротився на </w:t>
            </w:r>
            <w:r w:rsidRPr="000B6CFB">
              <w:t>9,4</w:t>
            </w:r>
            <w:r w:rsidRPr="00510CE1">
              <w:t xml:space="preserve">% (на </w:t>
            </w:r>
            <w:r w:rsidRPr="000B6CFB">
              <w:t>36,8</w:t>
            </w:r>
            <w:r w:rsidRPr="00510CE1">
              <w:t xml:space="preserve"> млн.дол.), а імпорт збільшився на 7,5% (на </w:t>
            </w:r>
            <w:r w:rsidRPr="000B6CFB">
              <w:t>9,4</w:t>
            </w:r>
            <w:r w:rsidRPr="00510CE1">
              <w:t xml:space="preserve"> млн.дол.). </w:t>
            </w:r>
            <w:r w:rsidRPr="00AF5918">
              <w:rPr>
                <w:bCs/>
              </w:rPr>
              <w:t xml:space="preserve">Баланс зовнішньоїторгівлістабільнопродовжуєзалишатисьпозитивним і становить </w:t>
            </w:r>
            <w:r w:rsidRPr="000B6CFB">
              <w:rPr>
                <w:bCs/>
              </w:rPr>
              <w:t>218,2</w:t>
            </w:r>
            <w:r w:rsidRPr="00AF5918">
              <w:rPr>
                <w:bCs/>
              </w:rPr>
              <w:t>млн.дол</w:t>
            </w:r>
            <w:r w:rsidRPr="000B6CFB">
              <w:rPr>
                <w:bCs/>
              </w:rPr>
              <w:t>.</w:t>
            </w:r>
          </w:p>
          <w:p w:rsidR="00A84969" w:rsidRPr="00AF5918" w:rsidRDefault="00A84969" w:rsidP="00A84969">
            <w:pPr>
              <w:suppressAutoHyphens/>
              <w:ind w:firstLine="709"/>
              <w:jc w:val="both"/>
            </w:pPr>
            <w:r w:rsidRPr="00AF5918">
              <w:t>Коефіцієнтпокриттяекспортомімпортусклав 2,</w:t>
            </w:r>
            <w:r w:rsidRPr="000B6CFB">
              <w:t>62</w:t>
            </w:r>
            <w:r w:rsidRPr="00AF5918">
              <w:t xml:space="preserve"> (за І </w:t>
            </w:r>
            <w:r w:rsidRPr="000B6CFB">
              <w:t>півріччя</w:t>
            </w:r>
            <w:r w:rsidRPr="00AF5918">
              <w:t xml:space="preserve"> 2015р. – 3,1</w:t>
            </w:r>
            <w:r w:rsidRPr="000B6CFB">
              <w:t>1</w:t>
            </w:r>
            <w:r w:rsidRPr="00AF5918">
              <w:t>).</w:t>
            </w:r>
          </w:p>
          <w:p w:rsidR="00184795" w:rsidRPr="00AF5918" w:rsidRDefault="00A84969" w:rsidP="00A84969">
            <w:pPr>
              <w:suppressAutoHyphens/>
              <w:ind w:firstLine="709"/>
              <w:jc w:val="both"/>
            </w:pPr>
            <w:r w:rsidRPr="00AF5918">
              <w:t>Зовнішньоторговельніоперації з товарами суб’єктигосподарюванняобластіздійснювали з партнерами із 114 країнсвіту.</w:t>
            </w:r>
          </w:p>
        </w:tc>
      </w:tr>
      <w:tr w:rsidR="00184795" w:rsidRPr="000B6CFB" w:rsidTr="008704F2">
        <w:trPr>
          <w:trHeight w:val="991"/>
        </w:trPr>
        <w:tc>
          <w:tcPr>
            <w:tcW w:w="1702" w:type="dxa"/>
            <w:tcBorders>
              <w:bottom w:val="single" w:sz="4" w:space="0" w:color="auto"/>
            </w:tcBorders>
          </w:tcPr>
          <w:p w:rsidR="00184795" w:rsidRPr="000B6CFB" w:rsidRDefault="00184795" w:rsidP="006662D8">
            <w:pPr>
              <w:pStyle w:val="32"/>
              <w:snapToGrid w:val="0"/>
              <w:spacing w:after="0"/>
              <w:jc w:val="both"/>
              <w:rPr>
                <w:b/>
                <w:i/>
                <w:sz w:val="24"/>
                <w:szCs w:val="24"/>
              </w:rPr>
            </w:pPr>
            <w:r w:rsidRPr="000B6CFB">
              <w:rPr>
                <w:b/>
                <w:bCs/>
                <w:i/>
                <w:sz w:val="24"/>
                <w:szCs w:val="24"/>
              </w:rPr>
              <w:lastRenderedPageBreak/>
              <w:t>Географічна структура експорту</w:t>
            </w:r>
            <w:r w:rsidR="006662D8" w:rsidRPr="000B6CFB">
              <w:rPr>
                <w:b/>
                <w:bCs/>
                <w:i/>
                <w:sz w:val="24"/>
                <w:szCs w:val="24"/>
              </w:rPr>
              <w:t xml:space="preserve"> та імпорту</w:t>
            </w:r>
          </w:p>
        </w:tc>
        <w:tc>
          <w:tcPr>
            <w:tcW w:w="9050" w:type="dxa"/>
            <w:tcBorders>
              <w:bottom w:val="single" w:sz="4" w:space="0" w:color="auto"/>
            </w:tcBorders>
          </w:tcPr>
          <w:p w:rsidR="00D86445" w:rsidRPr="000B6CFB" w:rsidRDefault="00D86445" w:rsidP="00D86445">
            <w:pPr>
              <w:suppressAutoHyphens/>
              <w:ind w:firstLine="709"/>
              <w:jc w:val="both"/>
            </w:pPr>
            <w:r w:rsidRPr="00AF5918">
              <w:t>В експортітоварівзначна доля належить Китаю (11,6% загальнихобсягівекспорту), Польщі (9,8%), Індії (8,7%), Білорусі (7,0%), Німеччині (5,4%)</w:t>
            </w:r>
            <w:r w:rsidRPr="000B6CFB">
              <w:t xml:space="preserve">, Іспанії, </w:t>
            </w:r>
            <w:r w:rsidRPr="00AF5918">
              <w:t>РосійськійФедерації</w:t>
            </w:r>
            <w:r w:rsidRPr="000B6CFB">
              <w:t xml:space="preserve">, </w:t>
            </w:r>
            <w:r w:rsidRPr="00AF5918">
              <w:t>Туреччині (</w:t>
            </w:r>
            <w:r w:rsidRPr="000B6CFB">
              <w:t xml:space="preserve">по </w:t>
            </w:r>
            <w:r w:rsidRPr="00AF5918">
              <w:t>4,</w:t>
            </w:r>
            <w:r w:rsidRPr="000B6CFB">
              <w:t>7</w:t>
            </w:r>
            <w:r w:rsidRPr="00AF5918">
              <w:t>%)</w:t>
            </w:r>
            <w:r w:rsidRPr="000B6CFB">
              <w:t xml:space="preserve">, </w:t>
            </w:r>
            <w:r w:rsidRPr="00AF5918">
              <w:t>Румунії (</w:t>
            </w:r>
            <w:r w:rsidRPr="000B6CFB">
              <w:t>4,3</w:t>
            </w:r>
            <w:r w:rsidRPr="00AF5918">
              <w:t xml:space="preserve">%), Нідерландам (3,7%), </w:t>
            </w:r>
            <w:r w:rsidRPr="000B6CFB">
              <w:t>Єгипту</w:t>
            </w:r>
            <w:r w:rsidRPr="00AF5918">
              <w:t xml:space="preserve"> (3,4%). </w:t>
            </w:r>
          </w:p>
          <w:p w:rsidR="00D86445" w:rsidRPr="000B6CFB" w:rsidRDefault="00D86445" w:rsidP="00D86445">
            <w:pPr>
              <w:suppressAutoHyphens/>
              <w:ind w:firstLine="709"/>
              <w:jc w:val="both"/>
              <w:rPr>
                <w:lang w:val="ru-RU"/>
              </w:rPr>
            </w:pPr>
            <w:r w:rsidRPr="00AF5918">
              <w:t xml:space="preserve">В імпортнихнадходженняхнайбільшачасткаприпадає на Китай (13,7%), Німеччину (11,1%), Польщу (8,5%), РосійськуФедерацію </w:t>
            </w:r>
            <w:r w:rsidRPr="000B6CFB">
              <w:rPr>
                <w:lang w:val="ru-RU"/>
              </w:rPr>
              <w:t>(7,9%)</w:t>
            </w:r>
            <w:r w:rsidRPr="000B6CFB">
              <w:t xml:space="preserve">, </w:t>
            </w:r>
            <w:r w:rsidRPr="000B6CFB">
              <w:rPr>
                <w:lang w:val="ru-RU"/>
              </w:rPr>
              <w:t>Італію (7,0%)</w:t>
            </w:r>
            <w:r w:rsidRPr="000B6CFB">
              <w:t>,</w:t>
            </w:r>
            <w:r w:rsidRPr="000B6CFB">
              <w:rPr>
                <w:lang w:val="ru-RU"/>
              </w:rPr>
              <w:t>Туреччину (6,6%), Румунію (6,4%), США (5,8%), Білорусь</w:t>
            </w:r>
            <w:r w:rsidRPr="000B6CFB">
              <w:t xml:space="preserve">та  </w:t>
            </w:r>
            <w:r w:rsidRPr="000B6CFB">
              <w:rPr>
                <w:lang w:val="ru-RU"/>
              </w:rPr>
              <w:t>Іспанію (</w:t>
            </w:r>
            <w:r w:rsidRPr="000B6CFB">
              <w:t>по 4</w:t>
            </w:r>
            <w:r w:rsidRPr="000B6CFB">
              <w:rPr>
                <w:lang w:val="ru-RU"/>
              </w:rPr>
              <w:t xml:space="preserve">,1%). </w:t>
            </w:r>
          </w:p>
          <w:p w:rsidR="00184795" w:rsidRPr="000B6CFB" w:rsidRDefault="00184795" w:rsidP="0000432A">
            <w:pPr>
              <w:ind w:firstLine="459"/>
              <w:jc w:val="both"/>
            </w:pPr>
          </w:p>
        </w:tc>
      </w:tr>
      <w:tr w:rsidR="006662D8" w:rsidRPr="000B6CFB" w:rsidTr="008704F2">
        <w:trPr>
          <w:trHeight w:val="991"/>
        </w:trPr>
        <w:tc>
          <w:tcPr>
            <w:tcW w:w="1702" w:type="dxa"/>
            <w:tcBorders>
              <w:bottom w:val="single" w:sz="4" w:space="0" w:color="auto"/>
            </w:tcBorders>
          </w:tcPr>
          <w:p w:rsidR="006662D8" w:rsidRPr="000B6CFB" w:rsidRDefault="006662D8" w:rsidP="006662D8">
            <w:pPr>
              <w:jc w:val="both"/>
              <w:rPr>
                <w:b/>
                <w:i/>
              </w:rPr>
            </w:pPr>
            <w:r w:rsidRPr="000B6CFB">
              <w:rPr>
                <w:b/>
                <w:i/>
              </w:rPr>
              <w:t>Товарна структура зовнішньої торгівлі товарами.</w:t>
            </w:r>
          </w:p>
          <w:p w:rsidR="006662D8" w:rsidRPr="000B6CFB" w:rsidRDefault="006662D8" w:rsidP="006662D8">
            <w:pPr>
              <w:jc w:val="center"/>
              <w:rPr>
                <w:b/>
                <w:sz w:val="28"/>
                <w:szCs w:val="28"/>
              </w:rPr>
            </w:pPr>
          </w:p>
          <w:p w:rsidR="006662D8" w:rsidRPr="000B6CFB" w:rsidRDefault="006662D8" w:rsidP="00184795">
            <w:pPr>
              <w:pStyle w:val="32"/>
              <w:snapToGrid w:val="0"/>
              <w:spacing w:after="0"/>
              <w:rPr>
                <w:b/>
                <w:bCs/>
                <w:i/>
                <w:sz w:val="24"/>
                <w:szCs w:val="24"/>
              </w:rPr>
            </w:pPr>
          </w:p>
        </w:tc>
        <w:tc>
          <w:tcPr>
            <w:tcW w:w="9050" w:type="dxa"/>
            <w:tcBorders>
              <w:bottom w:val="single" w:sz="4" w:space="0" w:color="auto"/>
            </w:tcBorders>
          </w:tcPr>
          <w:p w:rsidR="004C442A" w:rsidRPr="000B6CFB" w:rsidRDefault="004C442A" w:rsidP="004C442A">
            <w:pPr>
              <w:suppressAutoHyphens/>
              <w:ind w:firstLine="709"/>
              <w:jc w:val="both"/>
            </w:pPr>
            <w:r w:rsidRPr="000B6CFB">
              <w:t>Основу товарної структури зовнішньої торгівлі товарами складають жири та  олії тваринного або рослинного походження,  готові харчові продукти та продукти рослинного походження.</w:t>
            </w:r>
          </w:p>
          <w:p w:rsidR="004C442A" w:rsidRPr="000B6CFB" w:rsidRDefault="004C442A" w:rsidP="004C442A">
            <w:pPr>
              <w:suppressAutoHyphens/>
              <w:ind w:firstLine="709"/>
              <w:jc w:val="both"/>
            </w:pPr>
            <w:r w:rsidRPr="000B6CFB">
              <w:t xml:space="preserve">Крім того, вагома частка належить деревині та виробам з деревини, продуктам тваринного походження, текстильним матеріалам та текстильним виробам, продукції хімічної та  пов’язаних з  нею галузей промисловості. </w:t>
            </w:r>
          </w:p>
          <w:p w:rsidR="004C442A" w:rsidRPr="000B6CFB" w:rsidRDefault="004C442A" w:rsidP="004C442A">
            <w:pPr>
              <w:suppressAutoHyphens/>
              <w:ind w:firstLine="709"/>
              <w:jc w:val="both"/>
            </w:pPr>
            <w:r w:rsidRPr="000B6CFB">
              <w:t>Обсяг експорту товарів до країн-членів ЄС становив 134,6 млн.дол.США або 38,12% від загального обсягу експорту (за 6 міс. 2015р.–34,5%) та збільшився порівняно з січнем-червнем 2015р. на 20,1%. Суттєво збільшився експорт до Фінляндії (у 21 раз), Кіпру (майже у 7 разів), Франції (у 5 разів), Естонії (у 4 рази), Латвії (2,5 рази), Угорщини (2,5 рази), Словенії (у 2,3 рази), Чехії (у 1,9 рази).</w:t>
            </w:r>
          </w:p>
          <w:p w:rsidR="004C442A" w:rsidRPr="000B6CFB" w:rsidRDefault="004C442A" w:rsidP="004C442A">
            <w:pPr>
              <w:suppressAutoHyphens/>
              <w:ind w:firstLine="709"/>
              <w:jc w:val="both"/>
            </w:pPr>
            <w:r w:rsidRPr="000B6CFB">
              <w:t xml:space="preserve">Основними статтями експорту до країн ЄС є жири та олії тваринного або рослинного походження (44,2 млн.дол.), деревина та вироби з деревини (28,1 млн.дол.), готові харчові продукти (20,9 млн.дол.), продукти рослинного походження (14,2 млн.дол.) і текстильні матеріали та текстильні вироби (14,2 млн.дол.). </w:t>
            </w:r>
          </w:p>
          <w:p w:rsidR="004C442A" w:rsidRPr="000B6CFB" w:rsidRDefault="004C442A" w:rsidP="004C442A">
            <w:pPr>
              <w:suppressAutoHyphens/>
              <w:ind w:firstLine="709"/>
              <w:jc w:val="both"/>
              <w:rPr>
                <w:i/>
              </w:rPr>
            </w:pPr>
            <w:r w:rsidRPr="000B6CFB">
              <w:t>Імпорт товарів із країн Європейського Союзу становив 71,1 млн.дол., або 52,7% від загального обсягу(у січні–червні  2015р. –52,2%)та збільшився проти січня–червня 2015р.на 0,1%.</w:t>
            </w:r>
          </w:p>
          <w:p w:rsidR="004C442A" w:rsidRPr="000B6CFB" w:rsidRDefault="004C442A" w:rsidP="004C442A">
            <w:pPr>
              <w:suppressAutoHyphens/>
              <w:ind w:firstLine="709"/>
              <w:jc w:val="both"/>
            </w:pPr>
            <w:r w:rsidRPr="000B6CFB">
              <w:t>Основними статтями імпортних надходжень області з країн ЄС є машини, обладнання і механізми та електротехнічне обладнання (10,3 млн.дол.), продукція хімічної та пов’язаних з нею галузей промисловості (10,0 млн.дол.), текстильні матеріали та текстильні вироби (9,4 млн.дол.), засоби наземного транспорту, крім залізничного (9,1 млн.дол.),  деревина та вироби з деревини (8,7 млн.дол.), полімерні матеріали, пластмаси та вироби з них (6,0 млн.дол.), жири та олії тваринного або рослинного походження (5,2 млн.дол.).</w:t>
            </w:r>
          </w:p>
          <w:p w:rsidR="00E20811" w:rsidRPr="000B6CFB" w:rsidRDefault="00E20811" w:rsidP="0000432A">
            <w:pPr>
              <w:suppressAutoHyphens/>
              <w:ind w:firstLine="459"/>
              <w:jc w:val="both"/>
            </w:pPr>
          </w:p>
        </w:tc>
      </w:tr>
      <w:tr w:rsidR="00CB796B" w:rsidRPr="000B6CFB" w:rsidTr="0023057C">
        <w:trPr>
          <w:trHeight w:val="80"/>
        </w:trPr>
        <w:tc>
          <w:tcPr>
            <w:tcW w:w="10752" w:type="dxa"/>
            <w:gridSpan w:val="2"/>
            <w:tcBorders>
              <w:left w:val="nil"/>
              <w:right w:val="nil"/>
            </w:tcBorders>
          </w:tcPr>
          <w:p w:rsidR="00B553A7" w:rsidRPr="000B6CFB" w:rsidRDefault="00B553A7" w:rsidP="00D919AB">
            <w:pPr>
              <w:pStyle w:val="32"/>
              <w:suppressAutoHyphens/>
              <w:spacing w:after="0"/>
              <w:ind w:firstLine="709"/>
              <w:jc w:val="center"/>
              <w:outlineLvl w:val="0"/>
              <w:rPr>
                <w:b/>
                <w:sz w:val="24"/>
                <w:szCs w:val="24"/>
              </w:rPr>
            </w:pPr>
          </w:p>
          <w:p w:rsidR="00B553A7" w:rsidRPr="000B6CFB" w:rsidRDefault="00B553A7" w:rsidP="00D919AB">
            <w:pPr>
              <w:pStyle w:val="32"/>
              <w:suppressAutoHyphens/>
              <w:spacing w:after="0"/>
              <w:ind w:firstLine="709"/>
              <w:jc w:val="center"/>
              <w:outlineLvl w:val="0"/>
              <w:rPr>
                <w:sz w:val="24"/>
                <w:szCs w:val="24"/>
              </w:rPr>
            </w:pPr>
            <w:r w:rsidRPr="000B6CFB">
              <w:rPr>
                <w:b/>
                <w:sz w:val="24"/>
                <w:szCs w:val="24"/>
              </w:rPr>
              <w:t>ІНВЕСТИЦІЙНА ДІЯЛЬНІСТЬ ТА ГРОШОВО-КРЕДИТНИЙ РИНОК</w:t>
            </w:r>
          </w:p>
        </w:tc>
      </w:tr>
      <w:tr w:rsidR="00B553A7" w:rsidRPr="000B6CFB" w:rsidTr="00FE0937">
        <w:trPr>
          <w:trHeight w:val="274"/>
        </w:trPr>
        <w:tc>
          <w:tcPr>
            <w:tcW w:w="1702" w:type="dxa"/>
          </w:tcPr>
          <w:p w:rsidR="00B553A7" w:rsidRPr="000B6CFB" w:rsidRDefault="00B553A7" w:rsidP="00CB796B">
            <w:pPr>
              <w:snapToGrid w:val="0"/>
              <w:jc w:val="both"/>
              <w:rPr>
                <w:b/>
                <w:i/>
                <w:iCs/>
              </w:rPr>
            </w:pPr>
            <w:r w:rsidRPr="000B6CFB">
              <w:rPr>
                <w:b/>
                <w:i/>
                <w:iCs/>
              </w:rPr>
              <w:t xml:space="preserve">Розвиток </w:t>
            </w:r>
          </w:p>
          <w:p w:rsidR="00B553A7" w:rsidRPr="000B6CFB" w:rsidRDefault="00B553A7" w:rsidP="00CB796B">
            <w:pPr>
              <w:jc w:val="both"/>
              <w:rPr>
                <w:b/>
                <w:i/>
                <w:iCs/>
              </w:rPr>
            </w:pPr>
            <w:r w:rsidRPr="000B6CFB">
              <w:rPr>
                <w:b/>
                <w:i/>
                <w:iCs/>
              </w:rPr>
              <w:t xml:space="preserve">будівельної </w:t>
            </w:r>
          </w:p>
          <w:p w:rsidR="00B553A7" w:rsidRPr="000B6CFB" w:rsidRDefault="00B553A7" w:rsidP="00CB796B">
            <w:pPr>
              <w:pStyle w:val="32"/>
              <w:spacing w:after="0"/>
              <w:rPr>
                <w:b/>
                <w:i/>
                <w:iCs/>
                <w:sz w:val="24"/>
                <w:szCs w:val="24"/>
              </w:rPr>
            </w:pPr>
            <w:r w:rsidRPr="000B6CFB">
              <w:rPr>
                <w:b/>
                <w:i/>
                <w:iCs/>
                <w:sz w:val="24"/>
                <w:szCs w:val="24"/>
              </w:rPr>
              <w:t>справи</w:t>
            </w:r>
          </w:p>
        </w:tc>
        <w:tc>
          <w:tcPr>
            <w:tcW w:w="9050" w:type="dxa"/>
          </w:tcPr>
          <w:p w:rsidR="00221C3C" w:rsidRPr="000B6CFB" w:rsidRDefault="00221C3C" w:rsidP="00221C3C">
            <w:pPr>
              <w:pStyle w:val="33"/>
              <w:suppressAutoHyphens/>
              <w:spacing w:after="0"/>
              <w:ind w:left="0" w:firstLine="709"/>
              <w:jc w:val="both"/>
              <w:rPr>
                <w:sz w:val="24"/>
                <w:szCs w:val="24"/>
              </w:rPr>
            </w:pPr>
            <w:r w:rsidRPr="000B6CFB">
              <w:rPr>
                <w:sz w:val="24"/>
                <w:szCs w:val="24"/>
              </w:rPr>
              <w:t xml:space="preserve">Будівельними організаціями області за січень-липень 2016 року виконані будівельні роботи на суму  948,5 млн. грн. </w:t>
            </w:r>
            <w:r w:rsidRPr="000B6CFB">
              <w:rPr>
                <w:i/>
                <w:sz w:val="24"/>
                <w:szCs w:val="24"/>
              </w:rPr>
              <w:t>(9 місце серед регіонів України)</w:t>
            </w:r>
            <w:r w:rsidRPr="000B6CFB">
              <w:rPr>
                <w:sz w:val="24"/>
                <w:szCs w:val="24"/>
              </w:rPr>
              <w:t xml:space="preserve">. </w:t>
            </w:r>
          </w:p>
          <w:p w:rsidR="00221C3C" w:rsidRPr="00AF5918" w:rsidRDefault="00221C3C" w:rsidP="00221C3C">
            <w:pPr>
              <w:pStyle w:val="33"/>
              <w:suppressAutoHyphens/>
              <w:spacing w:after="0"/>
              <w:ind w:left="0" w:firstLine="709"/>
              <w:jc w:val="both"/>
              <w:rPr>
                <w:sz w:val="24"/>
                <w:szCs w:val="24"/>
              </w:rPr>
            </w:pPr>
            <w:r w:rsidRPr="00AF5918">
              <w:rPr>
                <w:sz w:val="24"/>
                <w:szCs w:val="24"/>
              </w:rPr>
              <w:t>За характером будівництваобсягиробітрозподілились таким чином:</w:t>
            </w:r>
          </w:p>
          <w:p w:rsidR="00221C3C" w:rsidRPr="00AF5918" w:rsidRDefault="00221C3C" w:rsidP="00221C3C">
            <w:pPr>
              <w:pStyle w:val="33"/>
              <w:suppressAutoHyphens/>
              <w:spacing w:after="0"/>
              <w:ind w:left="0" w:firstLine="709"/>
              <w:jc w:val="both"/>
              <w:rPr>
                <w:sz w:val="24"/>
                <w:szCs w:val="24"/>
              </w:rPr>
            </w:pPr>
            <w:r w:rsidRPr="00AF5918">
              <w:rPr>
                <w:sz w:val="24"/>
                <w:szCs w:val="24"/>
              </w:rPr>
              <w:t>- роботи з нового будівництва, реконструкції та технічногопереозброєння – 87,9 % відзагальногообсягу;</w:t>
            </w:r>
          </w:p>
          <w:p w:rsidR="00221C3C" w:rsidRPr="000B6CFB" w:rsidRDefault="00221C3C" w:rsidP="00221C3C">
            <w:pPr>
              <w:pStyle w:val="33"/>
              <w:suppressAutoHyphens/>
              <w:spacing w:after="0"/>
              <w:ind w:left="0" w:firstLine="709"/>
              <w:jc w:val="both"/>
              <w:rPr>
                <w:sz w:val="24"/>
                <w:szCs w:val="24"/>
                <w:lang w:val="ru-RU"/>
              </w:rPr>
            </w:pPr>
            <w:r w:rsidRPr="000B6CFB">
              <w:rPr>
                <w:sz w:val="24"/>
                <w:szCs w:val="24"/>
                <w:lang w:val="ru-RU"/>
              </w:rPr>
              <w:t>- роботи з капітального та поточного  ремонтів – 8,1% та 4,0% відповідно.</w:t>
            </w:r>
          </w:p>
          <w:p w:rsidR="00221C3C" w:rsidRPr="000B6CFB" w:rsidRDefault="00221C3C" w:rsidP="00221C3C">
            <w:pPr>
              <w:pStyle w:val="33"/>
              <w:suppressAutoHyphens/>
              <w:spacing w:after="0"/>
              <w:ind w:left="0" w:firstLine="709"/>
              <w:jc w:val="both"/>
              <w:rPr>
                <w:sz w:val="24"/>
                <w:szCs w:val="24"/>
                <w:lang w:val="ru-RU"/>
              </w:rPr>
            </w:pPr>
            <w:r w:rsidRPr="000B6CFB">
              <w:rPr>
                <w:sz w:val="24"/>
                <w:szCs w:val="24"/>
                <w:lang w:val="ru-RU"/>
              </w:rPr>
              <w:t xml:space="preserve">Обсягивиконанихбудівельнихробіт за видами будівельноїпродукції  становили : </w:t>
            </w:r>
          </w:p>
          <w:p w:rsidR="00221C3C" w:rsidRPr="000B6CFB" w:rsidRDefault="00221C3C" w:rsidP="00221C3C">
            <w:pPr>
              <w:pStyle w:val="33"/>
              <w:suppressAutoHyphens/>
              <w:spacing w:after="0"/>
              <w:ind w:left="0" w:firstLine="709"/>
              <w:jc w:val="both"/>
              <w:rPr>
                <w:sz w:val="24"/>
                <w:szCs w:val="24"/>
                <w:lang w:val="ru-RU"/>
              </w:rPr>
            </w:pPr>
            <w:r w:rsidRPr="000B6CFB">
              <w:rPr>
                <w:sz w:val="24"/>
                <w:szCs w:val="24"/>
                <w:lang w:val="ru-RU"/>
              </w:rPr>
              <w:t>- на будівництвібудівель – 534,5 млн. грн., або 54,6 % відзагальногообсягу;</w:t>
            </w:r>
          </w:p>
          <w:p w:rsidR="00221C3C" w:rsidRPr="000B6CFB" w:rsidRDefault="00221C3C" w:rsidP="00221C3C">
            <w:pPr>
              <w:pStyle w:val="33"/>
              <w:suppressAutoHyphens/>
              <w:spacing w:after="0"/>
              <w:ind w:left="0" w:firstLine="709"/>
              <w:jc w:val="both"/>
              <w:rPr>
                <w:sz w:val="24"/>
                <w:szCs w:val="24"/>
              </w:rPr>
            </w:pPr>
            <w:r w:rsidRPr="000B6CFB">
              <w:rPr>
                <w:sz w:val="24"/>
                <w:szCs w:val="24"/>
                <w:lang w:val="ru-RU"/>
              </w:rPr>
              <w:t>- на інженернихспорудах – 414,0 млн. грн.</w:t>
            </w:r>
            <w:r w:rsidRPr="000B6CFB">
              <w:rPr>
                <w:sz w:val="24"/>
                <w:szCs w:val="24"/>
              </w:rPr>
              <w:t>,</w:t>
            </w:r>
            <w:r w:rsidRPr="000B6CFB">
              <w:rPr>
                <w:sz w:val="24"/>
                <w:szCs w:val="24"/>
                <w:lang w:val="ru-RU"/>
              </w:rPr>
              <w:t>або  43,6  %.</w:t>
            </w:r>
          </w:p>
          <w:p w:rsidR="00221C3C" w:rsidRPr="000B6CFB" w:rsidRDefault="00221C3C" w:rsidP="00221C3C">
            <w:pPr>
              <w:pStyle w:val="33"/>
              <w:suppressAutoHyphens/>
              <w:spacing w:after="0"/>
              <w:ind w:left="0" w:firstLine="709"/>
              <w:jc w:val="both"/>
              <w:rPr>
                <w:sz w:val="24"/>
                <w:szCs w:val="24"/>
              </w:rPr>
            </w:pPr>
            <w:r w:rsidRPr="000B6CFB">
              <w:rPr>
                <w:sz w:val="24"/>
                <w:szCs w:val="24"/>
              </w:rPr>
              <w:t>За даними Головного управління статистики</w:t>
            </w:r>
            <w:r w:rsidRPr="000B6CFB">
              <w:rPr>
                <w:bCs/>
                <w:iCs/>
                <w:sz w:val="24"/>
                <w:szCs w:val="24"/>
              </w:rPr>
              <w:t xml:space="preserve"> у Вінницькій області </w:t>
            </w:r>
            <w:r w:rsidRPr="000B6CFB">
              <w:rPr>
                <w:sz w:val="24"/>
                <w:szCs w:val="24"/>
              </w:rPr>
              <w:t xml:space="preserve">індекс будівельної продукції за січень-липень 2016 року становив  131,8 % </w:t>
            </w:r>
            <w:r w:rsidRPr="000B6CFB">
              <w:rPr>
                <w:i/>
                <w:sz w:val="24"/>
                <w:szCs w:val="24"/>
              </w:rPr>
              <w:t>(6 місце серед регіонів України)</w:t>
            </w:r>
            <w:r w:rsidRPr="000B6CFB">
              <w:rPr>
                <w:sz w:val="24"/>
                <w:szCs w:val="24"/>
              </w:rPr>
              <w:t>.</w:t>
            </w:r>
          </w:p>
          <w:p w:rsidR="00221C3C" w:rsidRPr="000B6CFB" w:rsidRDefault="00221C3C" w:rsidP="00221C3C">
            <w:pPr>
              <w:pStyle w:val="33"/>
              <w:suppressAutoHyphens/>
              <w:spacing w:after="0"/>
              <w:ind w:left="0" w:firstLine="709"/>
              <w:jc w:val="both"/>
              <w:rPr>
                <w:sz w:val="24"/>
                <w:szCs w:val="24"/>
              </w:rPr>
            </w:pPr>
          </w:p>
          <w:p w:rsidR="00221C3C" w:rsidRPr="000B6CFB" w:rsidRDefault="00221C3C" w:rsidP="00221C3C">
            <w:pPr>
              <w:pStyle w:val="33"/>
              <w:suppressAutoHyphens/>
              <w:spacing w:after="0"/>
              <w:ind w:left="0" w:firstLine="709"/>
              <w:jc w:val="both"/>
              <w:rPr>
                <w:sz w:val="24"/>
                <w:szCs w:val="24"/>
              </w:rPr>
            </w:pPr>
            <w:r w:rsidRPr="000B6CFB">
              <w:rPr>
                <w:sz w:val="24"/>
                <w:szCs w:val="24"/>
              </w:rPr>
              <w:t>У січні-червні 2016 року підприємствами та організаціями області за рахунок усіх джерел фінансування освоєно 2701,3 млн. грн. капітальних інвестицій (</w:t>
            </w:r>
            <w:r w:rsidRPr="000B6CFB">
              <w:rPr>
                <w:i/>
                <w:sz w:val="24"/>
                <w:szCs w:val="24"/>
              </w:rPr>
              <w:t>13 місце серед регіонів України</w:t>
            </w:r>
            <w:r w:rsidRPr="000B6CFB">
              <w:rPr>
                <w:sz w:val="24"/>
                <w:szCs w:val="24"/>
              </w:rPr>
              <w:t>).</w:t>
            </w:r>
          </w:p>
          <w:p w:rsidR="00221C3C" w:rsidRPr="000B6CFB" w:rsidRDefault="00221C3C" w:rsidP="00221C3C">
            <w:pPr>
              <w:pStyle w:val="33"/>
              <w:suppressAutoHyphens/>
              <w:spacing w:after="0"/>
              <w:ind w:left="0" w:firstLine="709"/>
              <w:jc w:val="both"/>
              <w:rPr>
                <w:sz w:val="24"/>
                <w:szCs w:val="24"/>
              </w:rPr>
            </w:pPr>
            <w:r w:rsidRPr="000B6CFB">
              <w:rPr>
                <w:sz w:val="24"/>
                <w:szCs w:val="24"/>
              </w:rPr>
              <w:t xml:space="preserve">У порівнянних цінах на 9,1 % більше від обсягу капітальних інвестицій за </w:t>
            </w:r>
            <w:r w:rsidRPr="000B6CFB">
              <w:rPr>
                <w:sz w:val="24"/>
                <w:szCs w:val="24"/>
              </w:rPr>
              <w:lastRenderedPageBreak/>
              <w:t>відповідний період попереднього року (</w:t>
            </w:r>
            <w:r w:rsidRPr="000B6CFB">
              <w:rPr>
                <w:i/>
                <w:sz w:val="24"/>
                <w:szCs w:val="24"/>
              </w:rPr>
              <w:t>21 місце серед регіонів України</w:t>
            </w:r>
            <w:r w:rsidRPr="000B6CFB">
              <w:rPr>
                <w:sz w:val="24"/>
                <w:szCs w:val="24"/>
              </w:rPr>
              <w:t>).</w:t>
            </w:r>
          </w:p>
          <w:p w:rsidR="00221C3C" w:rsidRPr="000B6CFB" w:rsidRDefault="00221C3C" w:rsidP="00221C3C">
            <w:pPr>
              <w:pStyle w:val="33"/>
              <w:suppressAutoHyphens/>
              <w:spacing w:after="0"/>
              <w:ind w:left="0" w:firstLine="709"/>
              <w:jc w:val="both"/>
              <w:rPr>
                <w:sz w:val="24"/>
                <w:szCs w:val="24"/>
              </w:rPr>
            </w:pPr>
            <w:r w:rsidRPr="000B6CFB">
              <w:rPr>
                <w:sz w:val="24"/>
                <w:szCs w:val="24"/>
              </w:rPr>
              <w:t>Найвагомішу частку  капітальних інвестицій (98,9 % загального обсягу) освоєно в матеріальні активи, з яких:</w:t>
            </w:r>
          </w:p>
          <w:p w:rsidR="00221C3C" w:rsidRPr="000B6CFB" w:rsidRDefault="00221C3C" w:rsidP="00221C3C">
            <w:pPr>
              <w:pStyle w:val="33"/>
              <w:numPr>
                <w:ilvl w:val="0"/>
                <w:numId w:val="41"/>
              </w:numPr>
              <w:tabs>
                <w:tab w:val="left" w:pos="1026"/>
              </w:tabs>
              <w:suppressAutoHyphens/>
              <w:spacing w:after="0"/>
              <w:ind w:left="0" w:firstLine="709"/>
              <w:jc w:val="both"/>
              <w:rPr>
                <w:sz w:val="24"/>
                <w:szCs w:val="24"/>
              </w:rPr>
            </w:pPr>
            <w:r w:rsidRPr="000B6CFB">
              <w:rPr>
                <w:sz w:val="24"/>
                <w:szCs w:val="24"/>
              </w:rPr>
              <w:t>у будівлі та споруди –  31,1 % усіх інвестицій;</w:t>
            </w:r>
          </w:p>
          <w:p w:rsidR="00221C3C" w:rsidRPr="000B6CFB" w:rsidRDefault="00221C3C" w:rsidP="00221C3C">
            <w:pPr>
              <w:pStyle w:val="33"/>
              <w:numPr>
                <w:ilvl w:val="0"/>
                <w:numId w:val="41"/>
              </w:numPr>
              <w:tabs>
                <w:tab w:val="left" w:pos="1026"/>
              </w:tabs>
              <w:suppressAutoHyphens/>
              <w:spacing w:after="0"/>
              <w:ind w:left="0" w:firstLine="709"/>
              <w:jc w:val="both"/>
              <w:rPr>
                <w:sz w:val="24"/>
                <w:szCs w:val="24"/>
              </w:rPr>
            </w:pPr>
            <w:r w:rsidRPr="000B6CFB">
              <w:rPr>
                <w:sz w:val="24"/>
                <w:szCs w:val="24"/>
              </w:rPr>
              <w:t>у машини, обладнання та інвентар і транспортні засоби – 61,9 %.</w:t>
            </w:r>
          </w:p>
          <w:p w:rsidR="00221C3C" w:rsidRPr="000B6CFB" w:rsidRDefault="00221C3C" w:rsidP="00221C3C">
            <w:pPr>
              <w:pStyle w:val="33"/>
              <w:suppressAutoHyphens/>
              <w:spacing w:after="0"/>
              <w:ind w:left="0" w:firstLine="709"/>
              <w:jc w:val="both"/>
              <w:rPr>
                <w:sz w:val="24"/>
                <w:szCs w:val="24"/>
              </w:rPr>
            </w:pPr>
            <w:r w:rsidRPr="000B6CFB">
              <w:rPr>
                <w:sz w:val="24"/>
                <w:szCs w:val="24"/>
              </w:rPr>
              <w:t xml:space="preserve">Головним джерелом інвестування залишаються власні кошти підприємств та організацій, за рахунок яких освоєно 73,1 % загального обсягу капітальних інвестицій. </w:t>
            </w:r>
          </w:p>
          <w:p w:rsidR="00221C3C" w:rsidRPr="000B6CFB" w:rsidRDefault="00221C3C" w:rsidP="00221C3C">
            <w:pPr>
              <w:pStyle w:val="33"/>
              <w:suppressAutoHyphens/>
              <w:spacing w:after="0"/>
              <w:ind w:left="0" w:firstLine="709"/>
              <w:jc w:val="both"/>
              <w:rPr>
                <w:sz w:val="24"/>
                <w:szCs w:val="24"/>
              </w:rPr>
            </w:pPr>
            <w:r w:rsidRPr="000B6CFB">
              <w:rPr>
                <w:sz w:val="24"/>
                <w:szCs w:val="24"/>
              </w:rPr>
              <w:t xml:space="preserve">Частка запозичених коштів, за рахунок кредитів банків та інших позик, становила 4,2 %. </w:t>
            </w:r>
          </w:p>
          <w:p w:rsidR="00221C3C" w:rsidRPr="000B6CFB" w:rsidRDefault="00221C3C" w:rsidP="00221C3C">
            <w:pPr>
              <w:pStyle w:val="33"/>
              <w:suppressAutoHyphens/>
              <w:spacing w:after="0"/>
              <w:ind w:left="0" w:firstLine="709"/>
              <w:jc w:val="both"/>
              <w:rPr>
                <w:sz w:val="24"/>
                <w:szCs w:val="24"/>
              </w:rPr>
            </w:pPr>
            <w:r w:rsidRPr="000B6CFB">
              <w:rPr>
                <w:sz w:val="24"/>
                <w:szCs w:val="24"/>
              </w:rPr>
              <w:t>Кошти населення на будівництво житла складають 13,8 % капітальних інвестицій.</w:t>
            </w:r>
          </w:p>
          <w:p w:rsidR="00221C3C" w:rsidRPr="000B6CFB" w:rsidRDefault="00221C3C" w:rsidP="00221C3C">
            <w:pPr>
              <w:pStyle w:val="33"/>
              <w:suppressAutoHyphens/>
              <w:spacing w:after="0"/>
              <w:ind w:left="0" w:firstLine="709"/>
              <w:jc w:val="both"/>
              <w:rPr>
                <w:sz w:val="24"/>
                <w:szCs w:val="24"/>
              </w:rPr>
            </w:pPr>
            <w:r w:rsidRPr="000B6CFB">
              <w:rPr>
                <w:sz w:val="24"/>
                <w:szCs w:val="24"/>
              </w:rPr>
              <w:t>Кошти державного  бюджету – 0,9%,  місцевих бюджетів – 5,9%, інші джерела фінансування – 2,1 %.</w:t>
            </w:r>
          </w:p>
          <w:p w:rsidR="00221C3C" w:rsidRPr="000B6CFB" w:rsidRDefault="00221C3C" w:rsidP="00221C3C">
            <w:pPr>
              <w:pStyle w:val="33"/>
              <w:suppressAutoHyphens/>
              <w:spacing w:after="0"/>
              <w:ind w:left="0" w:firstLine="709"/>
              <w:jc w:val="both"/>
              <w:rPr>
                <w:sz w:val="24"/>
                <w:szCs w:val="24"/>
              </w:rPr>
            </w:pPr>
            <w:r w:rsidRPr="000B6CFB">
              <w:rPr>
                <w:sz w:val="24"/>
                <w:szCs w:val="24"/>
              </w:rPr>
              <w:t>Капітальні інвестиції у житлові будівлі по містах та районах за січень – червень 2016 року становлять 442,0 млн. грн.</w:t>
            </w:r>
          </w:p>
          <w:p w:rsidR="00221C3C" w:rsidRPr="000B6CFB" w:rsidRDefault="00221C3C" w:rsidP="00221C3C">
            <w:pPr>
              <w:pStyle w:val="33"/>
              <w:suppressAutoHyphens/>
              <w:spacing w:after="0"/>
              <w:ind w:left="0" w:firstLine="709"/>
              <w:jc w:val="both"/>
              <w:rPr>
                <w:sz w:val="24"/>
                <w:szCs w:val="24"/>
              </w:rPr>
            </w:pPr>
          </w:p>
          <w:p w:rsidR="00221C3C" w:rsidRPr="000B6CFB" w:rsidRDefault="00221C3C" w:rsidP="00221C3C">
            <w:pPr>
              <w:pStyle w:val="33"/>
              <w:suppressAutoHyphens/>
              <w:spacing w:after="0"/>
              <w:ind w:left="0" w:firstLine="709"/>
              <w:jc w:val="both"/>
              <w:rPr>
                <w:sz w:val="24"/>
                <w:szCs w:val="24"/>
              </w:rPr>
            </w:pPr>
            <w:r w:rsidRPr="000B6CFB">
              <w:rPr>
                <w:sz w:val="24"/>
                <w:szCs w:val="24"/>
              </w:rPr>
              <w:t>За січень-червень 2016 року прийнято в експлуатацію  129,6 тис. кв. м загальної площі житла (9</w:t>
            </w:r>
            <w:r w:rsidRPr="000B6CFB">
              <w:rPr>
                <w:i/>
                <w:sz w:val="24"/>
                <w:szCs w:val="24"/>
              </w:rPr>
              <w:t xml:space="preserve"> місце серед регіонів України</w:t>
            </w:r>
            <w:r w:rsidRPr="000B6CFB">
              <w:rPr>
                <w:sz w:val="24"/>
                <w:szCs w:val="24"/>
              </w:rPr>
              <w:t xml:space="preserve">), у тому числі: </w:t>
            </w:r>
          </w:p>
          <w:p w:rsidR="00221C3C" w:rsidRPr="000B6CFB" w:rsidRDefault="00221C3C" w:rsidP="00221C3C">
            <w:pPr>
              <w:pStyle w:val="33"/>
              <w:numPr>
                <w:ilvl w:val="0"/>
                <w:numId w:val="45"/>
              </w:numPr>
              <w:tabs>
                <w:tab w:val="left" w:pos="1026"/>
              </w:tabs>
              <w:suppressAutoHyphens/>
              <w:spacing w:after="0"/>
              <w:ind w:left="0" w:firstLine="709"/>
              <w:jc w:val="both"/>
              <w:rPr>
                <w:sz w:val="24"/>
                <w:szCs w:val="24"/>
              </w:rPr>
            </w:pPr>
            <w:r w:rsidRPr="000B6CFB">
              <w:rPr>
                <w:sz w:val="24"/>
                <w:szCs w:val="24"/>
              </w:rPr>
              <w:t>у містах – 108,0 тис. кв. м загальної площі (83,3 %);</w:t>
            </w:r>
          </w:p>
          <w:p w:rsidR="00221C3C" w:rsidRPr="000B6CFB" w:rsidRDefault="00221C3C" w:rsidP="00221C3C">
            <w:pPr>
              <w:pStyle w:val="33"/>
              <w:numPr>
                <w:ilvl w:val="0"/>
                <w:numId w:val="45"/>
              </w:numPr>
              <w:tabs>
                <w:tab w:val="left" w:pos="1026"/>
              </w:tabs>
              <w:suppressAutoHyphens/>
              <w:spacing w:after="0"/>
              <w:ind w:left="0" w:firstLine="709"/>
              <w:jc w:val="both"/>
              <w:rPr>
                <w:sz w:val="24"/>
                <w:szCs w:val="24"/>
              </w:rPr>
            </w:pPr>
            <w:r w:rsidRPr="000B6CFB">
              <w:rPr>
                <w:sz w:val="24"/>
                <w:szCs w:val="24"/>
              </w:rPr>
              <w:t xml:space="preserve">у сільській місцевості – 21,6 тис. кв. м (16,7 %). </w:t>
            </w:r>
          </w:p>
          <w:p w:rsidR="00221C3C" w:rsidRPr="000B6CFB" w:rsidRDefault="00221C3C" w:rsidP="00221C3C">
            <w:pPr>
              <w:pStyle w:val="33"/>
              <w:suppressAutoHyphens/>
              <w:spacing w:after="0"/>
              <w:ind w:left="0" w:firstLine="709"/>
              <w:jc w:val="both"/>
              <w:rPr>
                <w:sz w:val="24"/>
                <w:szCs w:val="24"/>
              </w:rPr>
            </w:pPr>
            <w:r w:rsidRPr="000B6CFB">
              <w:rPr>
                <w:sz w:val="24"/>
                <w:szCs w:val="24"/>
              </w:rPr>
              <w:t>Обсяги прийнятого в експлуатацію житла зросли порівняно з відповідним періодом  2015 року на 6,2 % (</w:t>
            </w:r>
            <w:r w:rsidRPr="000B6CFB">
              <w:rPr>
                <w:i/>
                <w:sz w:val="24"/>
                <w:szCs w:val="24"/>
              </w:rPr>
              <w:t>10 місце серед регіонів України</w:t>
            </w:r>
            <w:r w:rsidRPr="000B6CFB">
              <w:rPr>
                <w:sz w:val="24"/>
                <w:szCs w:val="24"/>
              </w:rPr>
              <w:t>).</w:t>
            </w:r>
          </w:p>
          <w:p w:rsidR="00221C3C" w:rsidRPr="000B6CFB" w:rsidRDefault="00221C3C" w:rsidP="00221C3C">
            <w:pPr>
              <w:pStyle w:val="33"/>
              <w:suppressAutoHyphens/>
              <w:spacing w:after="0"/>
              <w:ind w:left="0" w:firstLine="709"/>
              <w:jc w:val="both"/>
              <w:rPr>
                <w:sz w:val="24"/>
                <w:szCs w:val="24"/>
              </w:rPr>
            </w:pPr>
            <w:r w:rsidRPr="000B6CFB">
              <w:rPr>
                <w:sz w:val="24"/>
                <w:szCs w:val="24"/>
              </w:rPr>
              <w:t>Найбільше житла збудовано у м.Вінниці (63,1%). Ще у 14 регіонах (м.Хмільнику, м.Жмеринці, м.Могилів-Подільському, м.Ладижині, Вінницькому, Томашпільському, Калинівському, Іллінецькому,  Гайсинському, Літинському, Ямпільському, Теплицькому, Барському та Бершадському районах) прийнято в експлуатацію 30,7% загального обсягу житла.</w:t>
            </w:r>
          </w:p>
          <w:p w:rsidR="00723ACF" w:rsidRPr="000B6CFB" w:rsidRDefault="00221C3C" w:rsidP="00221C3C">
            <w:pPr>
              <w:suppressAutoHyphens/>
              <w:ind w:firstLine="709"/>
              <w:jc w:val="both"/>
              <w:rPr>
                <w:lang w:val="ru-RU"/>
              </w:rPr>
            </w:pPr>
            <w:r w:rsidRPr="000B6CFB">
              <w:t>За рахунок коштів державного бюджету житлові будинки в експлуатацію не приймались.</w:t>
            </w:r>
          </w:p>
        </w:tc>
      </w:tr>
      <w:tr w:rsidR="00990799" w:rsidRPr="000B6CFB" w:rsidTr="00967880">
        <w:trPr>
          <w:trHeight w:val="284"/>
        </w:trPr>
        <w:tc>
          <w:tcPr>
            <w:tcW w:w="1702" w:type="dxa"/>
            <w:tcBorders>
              <w:bottom w:val="single" w:sz="4" w:space="0" w:color="auto"/>
            </w:tcBorders>
          </w:tcPr>
          <w:p w:rsidR="00990799" w:rsidRPr="000B6CFB" w:rsidRDefault="00990799" w:rsidP="00CB796B">
            <w:pPr>
              <w:pStyle w:val="32"/>
              <w:snapToGrid w:val="0"/>
              <w:spacing w:after="0"/>
              <w:rPr>
                <w:b/>
                <w:i/>
                <w:sz w:val="24"/>
                <w:szCs w:val="24"/>
              </w:rPr>
            </w:pPr>
            <w:r w:rsidRPr="000B6CFB">
              <w:rPr>
                <w:b/>
                <w:i/>
                <w:sz w:val="24"/>
                <w:szCs w:val="24"/>
              </w:rPr>
              <w:lastRenderedPageBreak/>
              <w:t>Іноземне</w:t>
            </w:r>
          </w:p>
          <w:p w:rsidR="00990799" w:rsidRPr="000B6CFB" w:rsidRDefault="00990799" w:rsidP="00CB796B">
            <w:pPr>
              <w:jc w:val="both"/>
              <w:rPr>
                <w:b/>
                <w:i/>
                <w:iCs/>
              </w:rPr>
            </w:pPr>
            <w:r w:rsidRPr="000B6CFB">
              <w:rPr>
                <w:b/>
                <w:i/>
              </w:rPr>
              <w:t>інвестуван</w:t>
            </w:r>
            <w:r w:rsidRPr="000B6CFB">
              <w:rPr>
                <w:b/>
                <w:i/>
                <w:iCs/>
              </w:rPr>
              <w:t>ня</w:t>
            </w:r>
          </w:p>
        </w:tc>
        <w:tc>
          <w:tcPr>
            <w:tcW w:w="9050" w:type="dxa"/>
            <w:tcBorders>
              <w:bottom w:val="single" w:sz="4" w:space="0" w:color="auto"/>
            </w:tcBorders>
          </w:tcPr>
          <w:p w:rsidR="00AB079F" w:rsidRPr="000B6CFB" w:rsidRDefault="00AB079F" w:rsidP="00AB079F">
            <w:pPr>
              <w:ind w:firstLine="709"/>
              <w:jc w:val="both"/>
            </w:pPr>
            <w:r w:rsidRPr="000B6CFB">
              <w:t xml:space="preserve">Обсяг залучених з початку інвестування прямих іноземних інвестицій (акціонерного капіталу) в економіку області на 1 липня 2016р. </w:t>
            </w:r>
            <w:r w:rsidR="0091036B" w:rsidRPr="000B6CFB">
              <w:t xml:space="preserve">становив  190,8 млн.дол. США, </w:t>
            </w:r>
            <w:r w:rsidRPr="000B6CFB">
              <w:t xml:space="preserve">та в розрахунку на одну особу  населення – 119,3дол.  </w:t>
            </w:r>
          </w:p>
          <w:p w:rsidR="00AB079F" w:rsidRPr="000B6CFB" w:rsidRDefault="00AB079F" w:rsidP="00AB079F">
            <w:pPr>
              <w:ind w:firstLine="709"/>
              <w:jc w:val="both"/>
            </w:pPr>
            <w:r w:rsidRPr="000B6CFB">
              <w:t>Переважна більшість інвестицій (78,3% загального обсягу акціонерного капіталу) надійшла з країн ЄС – 149,4 млн.дол., з інших країн світу – 41,4 млн.дол. (21,7%).</w:t>
            </w:r>
          </w:p>
          <w:p w:rsidR="00AB079F" w:rsidRPr="000B6CFB" w:rsidRDefault="00AB079F" w:rsidP="00AB079F">
            <w:pPr>
              <w:ind w:firstLine="709"/>
              <w:jc w:val="both"/>
            </w:pPr>
            <w:r w:rsidRPr="000B6CFB">
              <w:t xml:space="preserve">У січні–червні 2016р. в економіку області іноземними інвесторами вкладено </w:t>
            </w:r>
            <w:r w:rsidRPr="000B6CFB">
              <w:br/>
              <w:t>3,7 млн.дол. прямих інвестицій (акціонерного капіталу). Зменшення капіталу за цей період становить 0,7 млн.дол., у т.ч. за рахунок курсової різниці 0,4 млн.дол.</w:t>
            </w:r>
          </w:p>
          <w:p w:rsidR="00AB079F" w:rsidRPr="000B6CFB" w:rsidRDefault="00AB079F" w:rsidP="00AB079F">
            <w:pPr>
              <w:suppressAutoHyphens/>
              <w:ind w:firstLine="709"/>
              <w:contextualSpacing/>
              <w:jc w:val="both"/>
            </w:pPr>
            <w:r w:rsidRPr="000B6CFB">
              <w:t>До п’ятірки основних країн-інвесторів, на які припадає 67,9% загального обсягу прямих інвестицій, входять: Кіпр – 41,7 млн.дол., Австрія – 32,1 млн.дол., Франція – 27,6 млн.дол., Німеччина – 15,6 млн.дол., Польща – 12,6 млн.дол.</w:t>
            </w:r>
          </w:p>
          <w:p w:rsidR="00AB079F" w:rsidRPr="000B6CFB" w:rsidRDefault="00AB079F" w:rsidP="00AB079F">
            <w:pPr>
              <w:suppressAutoHyphens/>
              <w:ind w:firstLine="709"/>
              <w:contextualSpacing/>
              <w:jc w:val="both"/>
            </w:pPr>
            <w:r w:rsidRPr="000B6CFB">
              <w:t>На підприємствах промисловості зосереджено 126,2 млн.дол. (66,1%) загального обсягу прямих інвестицій в область, у т.ч. переробної – 109,0 млн.дол. та добувної промисловості і розроблення кар’єрів – 16,6 млн.дол. Серед галузей переробної промисловості у виробництво харчових продук</w:t>
            </w:r>
            <w:r w:rsidR="0091036B" w:rsidRPr="000B6CFB">
              <w:t xml:space="preserve">тів, напоїв і тютюнових виробів залучено </w:t>
            </w:r>
            <w:r w:rsidRPr="000B6CFB">
              <w:t xml:space="preserve">56,3 млн.дол. прямих інвестицій, виготовлення виробів з деревини, виробництво паперу та поліграфічну діяльність – 25,9 млн.дол., виробництво хімічних речовин і хімічної продукції – 15,3 млн.дол. </w:t>
            </w:r>
          </w:p>
          <w:p w:rsidR="00AB079F" w:rsidRPr="000B6CFB" w:rsidRDefault="00AB079F" w:rsidP="00AB079F">
            <w:pPr>
              <w:suppressAutoHyphens/>
              <w:ind w:firstLine="709"/>
              <w:contextualSpacing/>
              <w:jc w:val="both"/>
            </w:pPr>
            <w:r w:rsidRPr="000B6CFB">
              <w:t>На підприємствах сільського, лісового та рибно</w:t>
            </w:r>
            <w:r w:rsidR="0091036B" w:rsidRPr="000B6CFB">
              <w:t xml:space="preserve">го  господарства  акумульовано </w:t>
            </w:r>
            <w:r w:rsidRPr="000B6CFB">
              <w:t>26,1 млн.дол. (13,7% загального обсягу) прямих інвестицій, в організаціях, що здійснюють операції з нерухомим майном – 22,0 млн.дол. (11,5%), оптової та роздрібної торгівлі; ремонту автотранспортних засобів і мотоциклів – 7,4 млн.дол. (3,9%).</w:t>
            </w:r>
          </w:p>
          <w:p w:rsidR="00AB079F" w:rsidRPr="000B6CFB" w:rsidRDefault="00AB079F" w:rsidP="00AB079F">
            <w:pPr>
              <w:suppressAutoHyphens/>
              <w:ind w:firstLine="709"/>
              <w:contextualSpacing/>
              <w:jc w:val="both"/>
            </w:pPr>
            <w:r w:rsidRPr="000B6CFB">
              <w:t xml:space="preserve">Вагому частку (44,4%) іноземного капіталу зосереджено у м.Вінниці – 84,8 </w:t>
            </w:r>
            <w:r w:rsidRPr="000B6CFB">
              <w:lastRenderedPageBreak/>
              <w:t>млн.дол. Також, значні обсяги іноземних інвестицій зосереджено у Козятинському районі – 20,8 млн.дол. (10,9%), Немирівському – 14,4 млн.дол. (7,5%) та Барському – 8,8 млн.дол. (4,6%). Серед інших регіонів області провідні місця за обсягами іноземних інвестицій утримують: м.Ладижин, м.Козятин та Тульчинський, Липовецький, Вінницький, Тиврівський райони.</w:t>
            </w:r>
          </w:p>
          <w:p w:rsidR="00AB079F" w:rsidRPr="000B6CFB" w:rsidRDefault="00AB079F" w:rsidP="00AB079F">
            <w:pPr>
              <w:suppressAutoHyphens/>
              <w:ind w:firstLine="709"/>
              <w:contextualSpacing/>
              <w:jc w:val="both"/>
            </w:pPr>
            <w:r w:rsidRPr="000B6CFB">
              <w:t>Заборгованість підприємств області за кредитами та позиками, торговими кредитами та іншими зобов’язаннями (борговими інструментами) перед прямими іноземними інвесторами на 1 липня 2016р.становила56,</w:t>
            </w:r>
            <w:r w:rsidRPr="000B6CFB">
              <w:rPr>
                <w:lang w:val="ru-RU"/>
              </w:rPr>
              <w:t>0</w:t>
            </w:r>
            <w:r w:rsidRPr="000B6CFB">
              <w:t xml:space="preserve">млн.дол. </w:t>
            </w:r>
          </w:p>
          <w:p w:rsidR="00AB079F" w:rsidRPr="000B6CFB" w:rsidRDefault="00AB079F" w:rsidP="00AB079F">
            <w:pPr>
              <w:suppressAutoHyphens/>
              <w:ind w:firstLine="709"/>
              <w:contextualSpacing/>
              <w:jc w:val="both"/>
            </w:pPr>
            <w:r w:rsidRPr="000B6CFB">
              <w:t>Загальний обсяг прямих іноземних інвестицій (акціонерного капіталу та боргових інструментів) на 1 липня 2016р. становив 246,9 млн.дол.</w:t>
            </w:r>
          </w:p>
          <w:p w:rsidR="00AB079F" w:rsidRPr="000B6CFB" w:rsidRDefault="00AB079F" w:rsidP="00AB079F">
            <w:pPr>
              <w:suppressAutoHyphens/>
              <w:ind w:firstLine="709"/>
              <w:contextualSpacing/>
              <w:jc w:val="both"/>
            </w:pPr>
            <w:r w:rsidRPr="000B6CFB">
              <w:t xml:space="preserve">Обсяг прямих інвестицій (акціонерного капіталу) з області в економіку країн світу на 1 липня 2016 р. становив 64,1 тис.дол. </w:t>
            </w:r>
          </w:p>
          <w:p w:rsidR="00E97521" w:rsidRPr="000B6CFB" w:rsidRDefault="00E97521" w:rsidP="00656852">
            <w:pPr>
              <w:suppressAutoHyphens/>
              <w:ind w:firstLine="459"/>
              <w:contextualSpacing/>
              <w:jc w:val="both"/>
              <w:rPr>
                <w:lang w:eastAsia="ru-RU"/>
              </w:rPr>
            </w:pPr>
          </w:p>
        </w:tc>
      </w:tr>
      <w:tr w:rsidR="00921422" w:rsidRPr="000B6CFB" w:rsidTr="00E20811">
        <w:trPr>
          <w:trHeight w:val="849"/>
        </w:trPr>
        <w:tc>
          <w:tcPr>
            <w:tcW w:w="1702" w:type="dxa"/>
            <w:tcBorders>
              <w:bottom w:val="single" w:sz="4" w:space="0" w:color="auto"/>
            </w:tcBorders>
            <w:shd w:val="clear" w:color="auto" w:fill="FFFFFF" w:themeFill="background1"/>
          </w:tcPr>
          <w:p w:rsidR="00921422" w:rsidRPr="000B6CFB" w:rsidRDefault="00921422" w:rsidP="00CB796B">
            <w:pPr>
              <w:pStyle w:val="afb"/>
              <w:snapToGrid w:val="0"/>
              <w:jc w:val="left"/>
              <w:rPr>
                <w:i/>
                <w:iCs/>
              </w:rPr>
            </w:pPr>
            <w:r w:rsidRPr="000B6CFB">
              <w:rPr>
                <w:i/>
              </w:rPr>
              <w:lastRenderedPageBreak/>
              <w:t>Готівковий обіг</w:t>
            </w:r>
          </w:p>
        </w:tc>
        <w:tc>
          <w:tcPr>
            <w:tcW w:w="9050" w:type="dxa"/>
            <w:tcBorders>
              <w:bottom w:val="single" w:sz="4" w:space="0" w:color="auto"/>
            </w:tcBorders>
            <w:shd w:val="clear" w:color="auto" w:fill="FFFFFF" w:themeFill="background1"/>
          </w:tcPr>
          <w:p w:rsidR="00C61054" w:rsidRPr="000B6CFB" w:rsidRDefault="00C61054" w:rsidP="00C61054">
            <w:pPr>
              <w:ind w:firstLine="709"/>
              <w:jc w:val="both"/>
            </w:pPr>
            <w:r w:rsidRPr="000B6CFB">
              <w:t>Стан готівкового обігу за січень-липень 201</w:t>
            </w:r>
            <w:r w:rsidRPr="000B6CFB">
              <w:rPr>
                <w:lang w:val="ru-RU"/>
              </w:rPr>
              <w:t>6</w:t>
            </w:r>
            <w:r w:rsidRPr="000B6CFB">
              <w:t xml:space="preserve"> року в порівнянні з січнем-липнем минулого року в цілому по області характеризувався ростом  як  надходжень готівки до кас банківських установтак і видач із них.</w:t>
            </w:r>
          </w:p>
          <w:p w:rsidR="00C61054" w:rsidRPr="000B6CFB" w:rsidRDefault="00C61054" w:rsidP="00C61054">
            <w:pPr>
              <w:ind w:firstLine="709"/>
              <w:jc w:val="both"/>
            </w:pPr>
            <w:r w:rsidRPr="000B6CFB">
              <w:t>Відповідно до даних Представництва Національного банку України у Вінницькій області обсяги надходжень готівки до кас банківських установ за січень</w:t>
            </w:r>
            <w:r w:rsidRPr="000B6CFB">
              <w:rPr>
                <w:lang w:val="ru-RU"/>
              </w:rPr>
              <w:t>-</w:t>
            </w:r>
            <w:r w:rsidRPr="000B6CFB">
              <w:t xml:space="preserve">липень 2016 року склала 24 578 млн.грн. і  в порівнянні з відповідним періодом минулого року зросла  на </w:t>
            </w:r>
            <w:r w:rsidRPr="000B6CFB">
              <w:rPr>
                <w:lang w:val="ru-RU"/>
              </w:rPr>
              <w:t xml:space="preserve">1 </w:t>
            </w:r>
            <w:r w:rsidRPr="000B6CFB">
              <w:t>915 млн.грн. або 9% .</w:t>
            </w:r>
          </w:p>
          <w:p w:rsidR="00C61054" w:rsidRPr="000B6CFB" w:rsidRDefault="00C61054" w:rsidP="00C61054">
            <w:pPr>
              <w:ind w:firstLine="709"/>
              <w:jc w:val="both"/>
            </w:pPr>
            <w:r w:rsidRPr="000B6CFB">
              <w:t xml:space="preserve">В розрізі статей, надходження готівки склали: торговельна виручка – 9,45 млрд.грн. </w:t>
            </w:r>
            <w:r w:rsidRPr="000B6CFB">
              <w:rPr>
                <w:i/>
              </w:rPr>
              <w:t>(на 82 млн.грн., або на 1% більше, ніж у відповідному періоді 2015 року);</w:t>
            </w:r>
            <w:r w:rsidRPr="000B6CFB">
              <w:t xml:space="preserve"> з використанням платіжних карток – 8,32 млрд.грн. (</w:t>
            </w:r>
            <w:r w:rsidRPr="000B6CFB">
              <w:rPr>
                <w:i/>
              </w:rPr>
              <w:t>відповідно на 1,26 млрд.грн., або на 18% більше</w:t>
            </w:r>
            <w:r w:rsidRPr="000B6CFB">
              <w:t xml:space="preserve">); на рахунки за вкладами фізичних осіб – 2,17 млрд.грн. </w:t>
            </w:r>
            <w:r w:rsidRPr="000B6CFB">
              <w:rPr>
                <w:i/>
              </w:rPr>
              <w:t>(відповідно на 277 млн.грн., або на 15% більше);</w:t>
            </w:r>
            <w:r w:rsidRPr="000B6CFB">
              <w:t xml:space="preserve"> від усіх видів платних послуг – 1,92 млрд.грн. (</w:t>
            </w:r>
            <w:r w:rsidRPr="000B6CFB">
              <w:rPr>
                <w:i/>
              </w:rPr>
              <w:t>відповідно на 254 млн.грн., або на 15% більше</w:t>
            </w:r>
            <w:r w:rsidRPr="000B6CFB">
              <w:t>); в погашення кредитів - 331 млн.грн. (</w:t>
            </w:r>
            <w:r w:rsidRPr="000B6CFB">
              <w:rPr>
                <w:i/>
              </w:rPr>
              <w:t>на 6 млн.грн., або на 2% менше)</w:t>
            </w:r>
            <w:r w:rsidRPr="000B6CFB">
              <w:t xml:space="preserve"> від продажу іноземної валюти - 160 млн.грн. (</w:t>
            </w:r>
            <w:r w:rsidRPr="000B6CFB">
              <w:rPr>
                <w:i/>
              </w:rPr>
              <w:t xml:space="preserve">на 8 млн.грн., або на 5% менше) </w:t>
            </w:r>
            <w:r w:rsidRPr="000B6CFB">
              <w:t>та інше.</w:t>
            </w:r>
          </w:p>
          <w:p w:rsidR="00C61054" w:rsidRPr="000B6CFB" w:rsidRDefault="00C61054" w:rsidP="00C61054">
            <w:pPr>
              <w:ind w:firstLine="709"/>
              <w:jc w:val="both"/>
            </w:pPr>
            <w:r w:rsidRPr="000B6CFB">
              <w:t>Основним джерелом надходження готівки до кас банківських установ  залишалась торговельна мережа, через яку вилучалося 38% усієї готівки, що на 3 відсоткових пункти менше ніж у відповідному періоді минулого року.</w:t>
            </w:r>
          </w:p>
          <w:p w:rsidR="00C61054" w:rsidRPr="000B6CFB" w:rsidRDefault="00C61054" w:rsidP="00C61054">
            <w:pPr>
              <w:ind w:firstLine="709"/>
              <w:jc w:val="both"/>
            </w:pPr>
            <w:r w:rsidRPr="000B6CFB">
              <w:t>Загальні обсяги готівки,  що була видана з кас банківських установ  області в січні-липні 2016 року, склали 25,9 млрд.грн., що на 2,91 млрд.грн. або 13% більше в порівнянні з відповідним періодом минулого року.</w:t>
            </w:r>
          </w:p>
          <w:p w:rsidR="00C61054" w:rsidRPr="000B6CFB" w:rsidRDefault="00C61054" w:rsidP="00C61054">
            <w:pPr>
              <w:ind w:firstLine="709"/>
              <w:jc w:val="both"/>
            </w:pPr>
            <w:r w:rsidRPr="000B6CFB">
              <w:t xml:space="preserve">В тому числі в розрізі статей обсяги видачі готівки склали:  з використанням платіжних карток 16,5 млрд.грн. і зросли до січня-липня 2015 року на 19%, або на 2,58 млрд.грн.;  підкріплення підприємств поштового зв’язку на виплату пенсій – 2,77 млрд.грн. </w:t>
            </w:r>
            <w:r w:rsidRPr="000B6CFB">
              <w:rPr>
                <w:i/>
              </w:rPr>
              <w:t>(на 91 млн.грн., або на 3% більше),</w:t>
            </w:r>
            <w:r w:rsidRPr="000B6CFB">
              <w:t xml:space="preserve"> з рахунків за вкладами фізичних осіб – 1,88  млрд.грн. </w:t>
            </w:r>
            <w:r w:rsidRPr="000B6CFB">
              <w:rPr>
                <w:i/>
              </w:rPr>
              <w:t>(на 667 млн.грн., або на 26% менше),</w:t>
            </w:r>
            <w:r w:rsidRPr="000B6CFB">
              <w:t xml:space="preserve"> на придбання іноземної валюти – 1,47 млрд.грн. </w:t>
            </w:r>
            <w:r w:rsidRPr="000B6CFB">
              <w:rPr>
                <w:i/>
              </w:rPr>
              <w:t>(на 960 млн.грн., або в 2,9 рази більше),</w:t>
            </w:r>
            <w:r w:rsidRPr="000B6CFB">
              <w:t xml:space="preserve"> на купівлю товарів, оплату послуг і за виконані роботи – 968 млн.грн. (</w:t>
            </w:r>
            <w:r w:rsidRPr="000B6CFB">
              <w:rPr>
                <w:i/>
              </w:rPr>
              <w:t xml:space="preserve">на 36 млн.грн., або на 4% менше), </w:t>
            </w:r>
            <w:r w:rsidRPr="000B6CFB">
              <w:t xml:space="preserve">на виплати, пов’язані з оплатою праці – 820 млн.грн. </w:t>
            </w:r>
            <w:r w:rsidRPr="000B6CFB">
              <w:rPr>
                <w:i/>
              </w:rPr>
              <w:t>(на 96 млн.грн., або на 13% більше),</w:t>
            </w:r>
            <w:r w:rsidRPr="000B6CFB">
              <w:t xml:space="preserve"> на видачу кредитів готівкою – 17 млн.грн. </w:t>
            </w:r>
            <w:r w:rsidRPr="000B6CFB">
              <w:rPr>
                <w:i/>
              </w:rPr>
              <w:t>(на 8 млн.грн., або в 1,9 рази більше)</w:t>
            </w:r>
            <w:r w:rsidRPr="000B6CFB">
              <w:t xml:space="preserve"> тощо.</w:t>
            </w:r>
          </w:p>
          <w:p w:rsidR="00C61054" w:rsidRPr="000B6CFB" w:rsidRDefault="00C61054" w:rsidP="00C61054">
            <w:pPr>
              <w:ind w:firstLine="709"/>
              <w:jc w:val="both"/>
            </w:pPr>
            <w:r w:rsidRPr="000B6CFB">
              <w:t>Водночас, безготівкові перерахування пенсій і допомог на поточні рахунки фізичних осіб за січень-липень 2016 року  в порівнянні з відповідним періодом минулого року збільшились на 83 млн.грн. або 3% і склали 3,02 млрд.грн. Безготівкові зарахування заробітної плати та інших видів оплати праці збільшились на 1,1 млрд.грн. або 24% і склали 5,73 млрд.грн.</w:t>
            </w:r>
          </w:p>
          <w:p w:rsidR="00C61054" w:rsidRPr="000B6CFB" w:rsidRDefault="00C61054" w:rsidP="00C61054">
            <w:pPr>
              <w:ind w:firstLine="709"/>
              <w:jc w:val="both"/>
            </w:pPr>
            <w:r w:rsidRPr="000B6CFB">
              <w:t>Безготівкові розрахунки із використанням платіжних карток склали 2,02 млрд.грн., що на 556 млн.грн. або 38% більше в порівнянні з аналогічним періодом минулого року.Безготівкові  розрахунки фізичних осіб за товари, послуги та інші перерахування збільшились на 125 млн.грн. або 12% і склали 1,13 млрд.грн.</w:t>
            </w:r>
          </w:p>
          <w:p w:rsidR="00921422" w:rsidRPr="000B6CFB" w:rsidRDefault="00C61054" w:rsidP="00510CE1">
            <w:pPr>
              <w:ind w:firstLine="709"/>
              <w:jc w:val="both"/>
            </w:pPr>
            <w:r w:rsidRPr="000B6CFB">
              <w:t xml:space="preserve">За січень-липень 2016 року обсяги видатків готівки з кас банківських установ області перевищували обсяги її надходжень до кас банківських установ, що призвело </w:t>
            </w:r>
            <w:r w:rsidRPr="000B6CFB">
              <w:lastRenderedPageBreak/>
              <w:t>до випуску готівки в обіг у сумі 1,33 млрд.грн., що на 994 млн.грн. або в 4 рази більше, ніж у відповідному періоді минулого року. Питома вага емісії у видатках за січень-липень 2016 року склала 5%, що на 4 відсоткових пункти більше ніж за січень-липень 2015 року.</w:t>
            </w:r>
          </w:p>
        </w:tc>
      </w:tr>
      <w:tr w:rsidR="00967880" w:rsidRPr="000B6CFB" w:rsidTr="00EF07DD">
        <w:trPr>
          <w:trHeight w:val="708"/>
        </w:trPr>
        <w:tc>
          <w:tcPr>
            <w:tcW w:w="1702" w:type="dxa"/>
            <w:tcBorders>
              <w:top w:val="single" w:sz="4" w:space="0" w:color="auto"/>
              <w:left w:val="nil"/>
              <w:bottom w:val="single" w:sz="4" w:space="0" w:color="auto"/>
              <w:right w:val="nil"/>
            </w:tcBorders>
            <w:shd w:val="clear" w:color="auto" w:fill="FFFFFF" w:themeFill="background1"/>
          </w:tcPr>
          <w:p w:rsidR="00967880" w:rsidRPr="000B6CFB" w:rsidRDefault="00967880" w:rsidP="00CB796B">
            <w:pPr>
              <w:pStyle w:val="afb"/>
              <w:snapToGrid w:val="0"/>
              <w:jc w:val="left"/>
              <w:rPr>
                <w:i/>
              </w:rPr>
            </w:pPr>
          </w:p>
          <w:p w:rsidR="00967880" w:rsidRPr="000B6CFB" w:rsidRDefault="00967880" w:rsidP="00CB796B">
            <w:pPr>
              <w:pStyle w:val="afb"/>
              <w:snapToGrid w:val="0"/>
              <w:jc w:val="left"/>
              <w:rPr>
                <w:i/>
              </w:rPr>
            </w:pPr>
          </w:p>
        </w:tc>
        <w:tc>
          <w:tcPr>
            <w:tcW w:w="9050" w:type="dxa"/>
            <w:tcBorders>
              <w:top w:val="single" w:sz="4" w:space="0" w:color="auto"/>
              <w:left w:val="nil"/>
              <w:bottom w:val="single" w:sz="4" w:space="0" w:color="auto"/>
              <w:right w:val="nil"/>
            </w:tcBorders>
            <w:shd w:val="clear" w:color="auto" w:fill="FFFFFF" w:themeFill="background1"/>
          </w:tcPr>
          <w:p w:rsidR="00967880" w:rsidRPr="000B6CFB" w:rsidRDefault="00967880" w:rsidP="00967880">
            <w:pPr>
              <w:pStyle w:val="15"/>
            </w:pPr>
          </w:p>
          <w:p w:rsidR="00967880" w:rsidRPr="000B6CFB" w:rsidRDefault="00967880" w:rsidP="00EF07DD">
            <w:pPr>
              <w:pStyle w:val="15"/>
            </w:pPr>
            <w:r w:rsidRPr="000B6CFB">
              <w:t>ЕФЕКТИВНІСТЬ РОБОТИ ГОСПОДАРСЬКОГО КОМПЛЕКСУ</w:t>
            </w:r>
          </w:p>
        </w:tc>
      </w:tr>
      <w:tr w:rsidR="00967880" w:rsidRPr="000B6CFB" w:rsidTr="00AE31BA">
        <w:trPr>
          <w:trHeight w:val="70"/>
        </w:trPr>
        <w:tc>
          <w:tcPr>
            <w:tcW w:w="1702" w:type="dxa"/>
            <w:tcBorders>
              <w:top w:val="single" w:sz="4" w:space="0" w:color="auto"/>
            </w:tcBorders>
            <w:shd w:val="clear" w:color="auto" w:fill="FFFFFF" w:themeFill="background1"/>
          </w:tcPr>
          <w:p w:rsidR="00967880" w:rsidRPr="000B6CFB" w:rsidRDefault="00967880" w:rsidP="00967880">
            <w:pPr>
              <w:pStyle w:val="ab"/>
              <w:snapToGrid w:val="0"/>
              <w:ind w:firstLine="0"/>
              <w:jc w:val="left"/>
              <w:rPr>
                <w:b/>
                <w:sz w:val="24"/>
              </w:rPr>
            </w:pPr>
            <w:r w:rsidRPr="000B6CFB">
              <w:rPr>
                <w:b/>
                <w:i/>
                <w:sz w:val="24"/>
              </w:rPr>
              <w:t>Фінансовий результат господарської діяльності</w:t>
            </w:r>
            <w:r w:rsidRPr="000B6CFB">
              <w:rPr>
                <w:b/>
                <w:sz w:val="24"/>
              </w:rPr>
              <w:t xml:space="preserve"> (</w:t>
            </w:r>
            <w:r w:rsidRPr="000B6CFB">
              <w:rPr>
                <w:b/>
                <w:i/>
                <w:sz w:val="24"/>
              </w:rPr>
              <w:t>по бухгалтерському обліку</w:t>
            </w:r>
            <w:r w:rsidRPr="000B6CFB">
              <w:rPr>
                <w:b/>
                <w:sz w:val="24"/>
              </w:rPr>
              <w:t>)</w:t>
            </w:r>
          </w:p>
          <w:p w:rsidR="00967880" w:rsidRPr="000B6CFB" w:rsidRDefault="00967880" w:rsidP="00CB796B">
            <w:pPr>
              <w:pStyle w:val="afb"/>
              <w:snapToGrid w:val="0"/>
              <w:jc w:val="left"/>
              <w:rPr>
                <w:i/>
              </w:rPr>
            </w:pPr>
          </w:p>
        </w:tc>
        <w:tc>
          <w:tcPr>
            <w:tcW w:w="9050" w:type="dxa"/>
            <w:tcBorders>
              <w:top w:val="single" w:sz="4" w:space="0" w:color="auto"/>
            </w:tcBorders>
            <w:shd w:val="clear" w:color="auto" w:fill="FFFFFF" w:themeFill="background1"/>
          </w:tcPr>
          <w:p w:rsidR="00C61054" w:rsidRPr="000B6CFB" w:rsidRDefault="00C61054" w:rsidP="00C61054">
            <w:pPr>
              <w:tabs>
                <w:tab w:val="left" w:pos="2712"/>
              </w:tabs>
              <w:ind w:firstLine="709"/>
              <w:jc w:val="both"/>
            </w:pPr>
            <w:r w:rsidRPr="000B6CFB">
              <w:t xml:space="preserve">Незважаючи на зовнішні та внутрішні виклики минулого року, значна кількість суб’єктів господарської діяльності області спрацювали за січень-червень 2016 року  ефективно. </w:t>
            </w:r>
          </w:p>
          <w:p w:rsidR="00C61054" w:rsidRPr="000B6CFB" w:rsidRDefault="00C61054" w:rsidP="00C61054">
            <w:pPr>
              <w:tabs>
                <w:tab w:val="left" w:pos="2712"/>
              </w:tabs>
              <w:ind w:firstLine="709"/>
              <w:jc w:val="both"/>
            </w:pPr>
            <w:r w:rsidRPr="000B6CFB">
              <w:t>Відповідно до даних Головного управління статистики у Вінницькій області</w:t>
            </w:r>
            <w:r w:rsidRPr="000B6CFB">
              <w:rPr>
                <w:b/>
              </w:rPr>
              <w:t xml:space="preserve"> з</w:t>
            </w:r>
            <w:r w:rsidRPr="000B6CFB">
              <w:t>а січень-червень 2016 року фінансовий результат діяльності великих та середніх підприємств області  становить 677,2 млн.грн. прибутку, до січня-червня 2015 року сума прибутку зросла на 11,6% або на 70,6 млн.грн.</w:t>
            </w:r>
          </w:p>
          <w:p w:rsidR="00C61054" w:rsidRPr="000B6CFB" w:rsidRDefault="00C61054" w:rsidP="00C61054">
            <w:pPr>
              <w:snapToGrid w:val="0"/>
              <w:ind w:firstLine="709"/>
              <w:jc w:val="both"/>
            </w:pPr>
            <w:r w:rsidRPr="000B6CFB">
              <w:t xml:space="preserve">Прибутково спрацювали 72,8% (+8,0 в.п.) підприємств і в порівнянні із відповідним періодом 2015 року  обсяг їх прибутку  скоротився  на 19,6%, або на 319,7 млн.грн. і складає 1 311,6 млн.грн. </w:t>
            </w:r>
          </w:p>
          <w:p w:rsidR="00C61054" w:rsidRPr="000B6CFB" w:rsidRDefault="00C61054" w:rsidP="00C61054">
            <w:pPr>
              <w:tabs>
                <w:tab w:val="left" w:pos="2712"/>
              </w:tabs>
              <w:ind w:firstLine="709"/>
              <w:jc w:val="both"/>
            </w:pPr>
            <w:r w:rsidRPr="000B6CFB">
              <w:t>Більше 1 мільйону прибутку до оподаткування з</w:t>
            </w:r>
            <w:r w:rsidRPr="000B6CFB">
              <w:rPr>
                <w:szCs w:val="28"/>
              </w:rPr>
              <w:t xml:space="preserve">а січень-червень 2016 року </w:t>
            </w:r>
            <w:r w:rsidRPr="000B6CFB">
              <w:t xml:space="preserve">одержало 100 підприємств області </w:t>
            </w:r>
            <w:r w:rsidRPr="000B6CFB">
              <w:rPr>
                <w:szCs w:val="28"/>
              </w:rPr>
              <w:t>(на рівні минулого року)</w:t>
            </w:r>
            <w:r w:rsidRPr="000B6CFB">
              <w:t xml:space="preserve"> .</w:t>
            </w:r>
          </w:p>
          <w:p w:rsidR="00C61054" w:rsidRPr="000B6CFB" w:rsidRDefault="00C61054" w:rsidP="00C61054">
            <w:pPr>
              <w:tabs>
                <w:tab w:val="left" w:pos="2712"/>
              </w:tabs>
              <w:ind w:firstLine="709"/>
              <w:jc w:val="both"/>
            </w:pPr>
            <w:r w:rsidRPr="000B6CFB">
              <w:t xml:space="preserve">Найбільший вплив на результати діяльності економіки області мала діяльність підприємств </w:t>
            </w:r>
            <w:r w:rsidRPr="000B6CFB">
              <w:rPr>
                <w:b/>
              </w:rPr>
              <w:t>промисловості</w:t>
            </w:r>
            <w:r w:rsidRPr="000B6CFB">
              <w:t>, які за січень-червень 2016 року спрацювали в цілому прибутково -  прибуток складає 919,7 млн. грн., та проти відповідного періоду 2015 року зріс на 42% або на 272,1 млн.грн.</w:t>
            </w:r>
          </w:p>
          <w:p w:rsidR="00C61054" w:rsidRPr="000B6CFB" w:rsidRDefault="00C61054" w:rsidP="00C61054">
            <w:pPr>
              <w:ind w:firstLine="709"/>
              <w:jc w:val="both"/>
            </w:pPr>
            <w:r w:rsidRPr="000B6CFB">
              <w:t xml:space="preserve">Прибутково спрацювали 71,8% (+11,8 в.п.) промислових підприємств, ними отримано більше мільярда гривень прибутку (1 107,13 млн.грн. ), обсяг яких займає 84,4% в структурі прибутку прибуткових підприємств в цілому по всіх видах економічної діяльності. В порівнянні з відповідним періодом 2015 року  сума прибутків зменшилась на 15,8%.  </w:t>
            </w:r>
          </w:p>
          <w:p w:rsidR="00C61054" w:rsidRPr="000B6CFB" w:rsidRDefault="00C61054" w:rsidP="00C61054">
            <w:pPr>
              <w:ind w:firstLine="709"/>
              <w:jc w:val="both"/>
            </w:pPr>
            <w:r w:rsidRPr="000B6CFB">
              <w:rPr>
                <w:u w:val="single"/>
              </w:rPr>
              <w:t>Підприємства добувної промисловості і розроблення кар’єрів</w:t>
            </w:r>
            <w:r w:rsidRPr="000B6CFB">
              <w:t xml:space="preserve"> за січень-червень 2016 року спрацювали з прибутковим фінансовим результатом у сумі 90,6 млн.грн. прибутку, тоді як у відповідному періоді 2015 року спрацювали неефективно із збитком  9,4 млн.грн. Частка прибутково працюючих підприємств добувної промисловості склала 37,5%  (-19,6 в.п.), обсяг їх прибутків зріс на 64,2% або на 44,5 млн.грн.  і склав 113,7 млн.грн.</w:t>
            </w:r>
          </w:p>
          <w:p w:rsidR="00C61054" w:rsidRPr="000B6CFB" w:rsidRDefault="00C61054" w:rsidP="00C61054">
            <w:pPr>
              <w:ind w:firstLine="709"/>
              <w:jc w:val="both"/>
              <w:rPr>
                <w:i/>
              </w:rPr>
            </w:pPr>
            <w:r w:rsidRPr="000B6CFB">
              <w:t xml:space="preserve">В цілому </w:t>
            </w:r>
            <w:r w:rsidRPr="000B6CFB">
              <w:rPr>
                <w:u w:val="single"/>
              </w:rPr>
              <w:t>підприємства переробної промисловості</w:t>
            </w:r>
            <w:r w:rsidRPr="000B6CFB">
              <w:t xml:space="preserve"> за січень-червень 2016 року спрацювали із  прибутковим фінансовим результатом, сума якого 537,7 млн. грн., проте це на 37,5 млн.грн. або на 6,5% менше відповідного періоду 2015 року</w:t>
            </w:r>
            <w:r w:rsidRPr="000B6CFB">
              <w:rPr>
                <w:i/>
              </w:rPr>
              <w:t>.</w:t>
            </w:r>
            <w:r w:rsidRPr="000B6CFB">
              <w:t xml:space="preserve"> Частка прибутково працюючих підприємств склала 78% (+12,8 в.п.), сума їх прибутку становить 669,7 млн.грн. </w:t>
            </w:r>
            <w:r w:rsidRPr="000B6CFB">
              <w:rPr>
                <w:i/>
              </w:rPr>
              <w:t xml:space="preserve">(60,5 % від прибутків промисловості) </w:t>
            </w:r>
            <w:r w:rsidRPr="000B6CFB">
              <w:t>і скоротилась на 36,7% або на 388,3 млн.грн.</w:t>
            </w:r>
          </w:p>
          <w:p w:rsidR="00C61054" w:rsidRPr="000B6CFB" w:rsidRDefault="00C61054" w:rsidP="00C61054">
            <w:pPr>
              <w:ind w:firstLine="709"/>
              <w:jc w:val="both"/>
            </w:pPr>
            <w:r w:rsidRPr="000B6CFB">
              <w:t xml:space="preserve">З позитивним фінансовим результатом спрацювали підприємства усіх галузей переробної промисловості, зокрема підприємства </w:t>
            </w:r>
            <w:r w:rsidRPr="000B6CFB">
              <w:rPr>
                <w:i/>
              </w:rPr>
              <w:t>з виробництва харчових продуктів, напоїв і тютюнових виробів</w:t>
            </w:r>
            <w:r w:rsidRPr="000B6CFB">
              <w:t>, якими за 6 місяців 2016 року отримано 284,8 млн. грн. прибутку, що на 307,5 млн.грн. або в 2,1 рази менше ніж у відповідному періоді 2015 року</w:t>
            </w:r>
            <w:r w:rsidRPr="000B6CFB">
              <w:rPr>
                <w:i/>
              </w:rPr>
              <w:t>.</w:t>
            </w:r>
            <w:r w:rsidRPr="000B6CFB">
              <w:t>Прибутково спрацювали 72% (+7,4 в.п.) підприємств харчової галузі, сума їх прибутку скоротилася  у 2,2 рази і склала 387,1 млн.грн. (</w:t>
            </w:r>
            <w:r w:rsidRPr="000B6CFB">
              <w:rPr>
                <w:i/>
              </w:rPr>
              <w:t>57,8% в структурі прибутку підприємств переробної промисловості).</w:t>
            </w:r>
          </w:p>
          <w:p w:rsidR="00C61054" w:rsidRPr="000B6CFB" w:rsidRDefault="00C61054" w:rsidP="00C61054">
            <w:pPr>
              <w:ind w:firstLine="709"/>
              <w:jc w:val="both"/>
              <w:rPr>
                <w:i/>
              </w:rPr>
            </w:pPr>
            <w:r w:rsidRPr="000B6CFB">
              <w:t>Також прибутково спрацювали переробні підприємства таких видів діяльності</w:t>
            </w:r>
            <w:r w:rsidRPr="000B6CFB">
              <w:rPr>
                <w:i/>
              </w:rPr>
              <w:t>:</w:t>
            </w:r>
          </w:p>
          <w:p w:rsidR="00C61054" w:rsidRPr="000B6CFB" w:rsidRDefault="00C61054" w:rsidP="00C61054">
            <w:pPr>
              <w:ind w:firstLine="709"/>
              <w:jc w:val="both"/>
            </w:pPr>
            <w:r w:rsidRPr="000B6CFB">
              <w:rPr>
                <w:i/>
              </w:rPr>
              <w:t xml:space="preserve">- виготовлення виробів з деревини, паперу та поліграфічна діяльність – </w:t>
            </w:r>
            <w:r w:rsidRPr="000B6CFB">
              <w:t>фінансовий результат становить 77,3 млн.грн. прибутку, тоді як у січні-червні 2015 року негативний фінансовий результат складав 110,5 млн. грн. збитку. Прибутково спрацювали 100% підприємств зазначеного виду діяльності;</w:t>
            </w:r>
          </w:p>
          <w:p w:rsidR="00C61054" w:rsidRPr="000B6CFB" w:rsidRDefault="00C61054" w:rsidP="00C61054">
            <w:pPr>
              <w:tabs>
                <w:tab w:val="left" w:pos="0"/>
                <w:tab w:val="left" w:pos="360"/>
                <w:tab w:val="left" w:pos="1146"/>
              </w:tabs>
              <w:ind w:firstLine="709"/>
              <w:jc w:val="both"/>
            </w:pPr>
            <w:r w:rsidRPr="000B6CFB">
              <w:t xml:space="preserve">- </w:t>
            </w:r>
            <w:r w:rsidRPr="000B6CFB">
              <w:rPr>
                <w:i/>
              </w:rPr>
              <w:t>виробництво хімічних речовин і хімічної продукції</w:t>
            </w:r>
            <w:r w:rsidRPr="000B6CFB">
              <w:t xml:space="preserve"> – відповідно 75,5  млн.грн. прибутку, який зріс у 1,5 рази або на 25,9 млн.грн.; на 22,9 в.п. зросла частка прибуткових підприємств і складає 80%, водночас сума отриманого ними прибутку зросла </w:t>
            </w:r>
            <w:r w:rsidRPr="000B6CFB">
              <w:lastRenderedPageBreak/>
              <w:t xml:space="preserve">на 28,2% (+16,7 млн.грн.) і склала майже 76 млн.грн.; </w:t>
            </w:r>
          </w:p>
          <w:p w:rsidR="00C61054" w:rsidRPr="000B6CFB" w:rsidRDefault="00C61054" w:rsidP="00C61054">
            <w:pPr>
              <w:tabs>
                <w:tab w:val="left" w:pos="0"/>
                <w:tab w:val="left" w:pos="360"/>
                <w:tab w:val="left" w:pos="1146"/>
              </w:tabs>
              <w:ind w:firstLine="709"/>
              <w:jc w:val="both"/>
            </w:pPr>
            <w:r w:rsidRPr="000B6CFB">
              <w:t xml:space="preserve">- </w:t>
            </w:r>
            <w:r w:rsidRPr="000B6CFB">
              <w:rPr>
                <w:i/>
              </w:rPr>
              <w:t>машинобудування</w:t>
            </w:r>
            <w:r w:rsidRPr="000B6CFB">
              <w:t xml:space="preserve"> - фінансовий результат - 48,9 млн.грн. прибутку, обсяг якого зріс на 34,1% або на 12,4 млн.грн., частка прибуткових підприємств становить 82,6% (+24,3в.п.), а сума отриманого ними прибутку зросла на 7,5%  і склала 53,2 млн.грн.; </w:t>
            </w:r>
          </w:p>
          <w:p w:rsidR="00C61054" w:rsidRPr="000B6CFB" w:rsidRDefault="00C61054" w:rsidP="00C61054">
            <w:pPr>
              <w:tabs>
                <w:tab w:val="left" w:pos="0"/>
                <w:tab w:val="left" w:pos="360"/>
                <w:tab w:val="left" w:pos="1146"/>
              </w:tabs>
              <w:ind w:firstLine="709"/>
              <w:jc w:val="both"/>
            </w:pPr>
            <w:r w:rsidRPr="000B6CFB">
              <w:t xml:space="preserve">- </w:t>
            </w:r>
            <w:r w:rsidRPr="000B6CFB">
              <w:rPr>
                <w:i/>
              </w:rPr>
              <w:t xml:space="preserve">виробництво гумових і пластмасових виробів, іншої неметалевої мінеральної продукції – </w:t>
            </w:r>
            <w:r w:rsidRPr="000B6CFB">
              <w:t xml:space="preserve">фінансовий результат - 24,2 млн.грн. прибутку,  ріст майже у 2,5 рази, або на 14,4 тис.грн.; 72,2% прибуткових підприємств, сума отриманого ними прибутку зросла на 47,7%  (+11,5 млн.грн.) та становить 35,8 млн.грн.;  </w:t>
            </w:r>
          </w:p>
          <w:p w:rsidR="00C61054" w:rsidRPr="000B6CFB" w:rsidRDefault="00C61054" w:rsidP="00C61054">
            <w:pPr>
              <w:tabs>
                <w:tab w:val="left" w:pos="0"/>
                <w:tab w:val="left" w:pos="360"/>
                <w:tab w:val="left" w:pos="1146"/>
              </w:tabs>
              <w:ind w:firstLine="709"/>
              <w:jc w:val="both"/>
            </w:pPr>
            <w:r w:rsidRPr="000B6CFB">
              <w:t>-</w:t>
            </w:r>
            <w:r w:rsidRPr="000B6CFB">
              <w:rPr>
                <w:i/>
              </w:rPr>
              <w:t xml:space="preserve"> металургійне виробництво, виробництво готових металевих виробів, крім машин і устаткування – </w:t>
            </w:r>
            <w:r w:rsidRPr="000B6CFB">
              <w:t>фінансовий результат 20,3 млн.грн прибутку, зріс у 2,4 рази або на 11,9 млн.грн.,  прибутково спрацювали 88,9% (+27,4в.п.) підприємств,  проте сума їх прибутку зменшилась на 37,4%  і становить майже 23 млн.грн.;</w:t>
            </w:r>
          </w:p>
          <w:p w:rsidR="00C61054" w:rsidRPr="000B6CFB" w:rsidRDefault="00C61054" w:rsidP="00C61054">
            <w:pPr>
              <w:tabs>
                <w:tab w:val="left" w:pos="0"/>
                <w:tab w:val="left" w:pos="360"/>
                <w:tab w:val="left" w:pos="1146"/>
              </w:tabs>
              <w:ind w:firstLine="709"/>
              <w:jc w:val="both"/>
            </w:pPr>
            <w:r w:rsidRPr="000B6CFB">
              <w:t xml:space="preserve">- </w:t>
            </w:r>
            <w:r w:rsidRPr="000B6CFB">
              <w:rPr>
                <w:i/>
              </w:rPr>
              <w:t>текстильне виробництво, виробництво одягу, шкіри, виробів зі шкіри та інших матеріалів</w:t>
            </w:r>
            <w:r w:rsidRPr="000B6CFB">
              <w:t xml:space="preserve"> – фінансовий результат - 12,4 млн.грн. прибутку, в порівнянні з січнем-червнем 2015 року він скоротився на 33,4% або на 6,2 млн.грн., 80% прибуткових підприємств, сума їхнього прибутку зменшилась на 34,7% (-6,6 млн.грн.) і становить 12,4 млн.грн.;  </w:t>
            </w:r>
          </w:p>
          <w:p w:rsidR="00C61054" w:rsidRPr="000B6CFB" w:rsidRDefault="00C61054" w:rsidP="00C61054">
            <w:pPr>
              <w:tabs>
                <w:tab w:val="left" w:pos="0"/>
                <w:tab w:val="left" w:pos="360"/>
                <w:tab w:val="left" w:pos="1146"/>
              </w:tabs>
              <w:ind w:firstLine="709"/>
              <w:jc w:val="both"/>
            </w:pPr>
            <w:r w:rsidRPr="000B6CFB">
              <w:t xml:space="preserve">- </w:t>
            </w:r>
            <w:r w:rsidRPr="000B6CFB">
              <w:rPr>
                <w:i/>
              </w:rPr>
              <w:t>виробництво меблів, іншої продукції; ремонт і монтаж машин і устаткування –</w:t>
            </w:r>
            <w:r w:rsidRPr="000B6CFB">
              <w:t xml:space="preserve"> фінансовий результат - 4,7 млн.грн. прибутку, який зріс у 6,3 рази або на 3,9 млн.грн., усі 100% підприємств даного виду діяльності спрацювали прибутково.</w:t>
            </w:r>
          </w:p>
          <w:p w:rsidR="00C61054" w:rsidRPr="000B6CFB" w:rsidRDefault="00C61054" w:rsidP="00C61054">
            <w:pPr>
              <w:ind w:firstLine="709"/>
              <w:jc w:val="both"/>
            </w:pPr>
            <w:r w:rsidRPr="000B6CFB">
              <w:t xml:space="preserve">Обсяг позитивного фінансового результату, отриманого промисловими підприємствами </w:t>
            </w:r>
            <w:r w:rsidRPr="000B6CFB">
              <w:rPr>
                <w:u w:val="single"/>
              </w:rPr>
              <w:t>з постачання електроенергії, газу, пари та кондиційованого повітря</w:t>
            </w:r>
            <w:r w:rsidRPr="000B6CFB">
              <w:t xml:space="preserve"> (305,2 млн.грн. прибутку), зріс в порівнянні із  відповідним періодом минулого року у 3,2 рази, або на 210,6 млн.грн.; 55,6% підприємств зазначеного виду діяльності спрацювали прибутково (збільшились на 5,6 в.п.), обсяг їх прибутків зріс у 1,7 рази (+133,1 млн.грн.) і склав майже 321 млн.грн.</w:t>
            </w:r>
          </w:p>
          <w:p w:rsidR="00C61054" w:rsidRPr="000B6CFB" w:rsidRDefault="00C61054" w:rsidP="00C61054">
            <w:pPr>
              <w:ind w:firstLine="709"/>
              <w:jc w:val="both"/>
            </w:pPr>
            <w:r w:rsidRPr="000B6CFB">
              <w:rPr>
                <w:u w:val="single"/>
              </w:rPr>
              <w:t>Серед підприємств непромислових видів економічної діяльності</w:t>
            </w:r>
            <w:r w:rsidRPr="000B6CFB">
              <w:t xml:space="preserve"> зі значним прибутковим фінансовим результатом спрацювали підприємства </w:t>
            </w:r>
            <w:r w:rsidRPr="000B6CFB">
              <w:rPr>
                <w:b/>
              </w:rPr>
              <w:t>оптової та роздрібної торгівлі; ремонту автотранспортних засобів і мотоциклів</w:t>
            </w:r>
            <w:r w:rsidRPr="000B6CFB">
              <w:t>, сальдовий фінансовий результат за січень-червень  2016 року яких склав 63,8 млн.грн. прибутку, обсяг якого скоротився в порівнянні із  відповідним періодом минулого року майже у 1,5 рази, або на 30,3 млн.грн., 80% підприємств зазначеного виду діяльності спрацювали прибутково (збільшення на 8,1 в.п.), проте обсяг їх прибутків скоротився у 2,4 рази і склав 73,6 млн.грн.</w:t>
            </w:r>
          </w:p>
          <w:p w:rsidR="00C61054" w:rsidRPr="000B6CFB" w:rsidRDefault="00C61054" w:rsidP="00C61054">
            <w:pPr>
              <w:ind w:firstLine="709"/>
              <w:jc w:val="both"/>
            </w:pPr>
            <w:r w:rsidRPr="000B6CFB">
              <w:t xml:space="preserve">Також спрацювали прибутково підприємства наступних видів діяльності: </w:t>
            </w:r>
          </w:p>
          <w:p w:rsidR="00C61054" w:rsidRPr="000B6CFB" w:rsidRDefault="00C61054" w:rsidP="00C61054">
            <w:pPr>
              <w:ind w:firstLine="709"/>
              <w:jc w:val="both"/>
            </w:pPr>
            <w:r w:rsidRPr="000B6CFB">
              <w:t xml:space="preserve">- </w:t>
            </w:r>
            <w:r w:rsidRPr="000B6CFB">
              <w:rPr>
                <w:b/>
              </w:rPr>
              <w:t>інформація та телекомунікації</w:t>
            </w:r>
            <w:r w:rsidRPr="000B6CFB">
              <w:t xml:space="preserve">– 48,4 млн.грн. прибутку, який в порівнянні з  відповідним періодом минулого року зріс у 2,2 рази або на 26,2 млн.грн., 100% підприємств спрацювали прибутково, сума їх прибутків зросла майже у 2 рази (+24 млн.грн.) і складає  48,4 млн.грн.; </w:t>
            </w:r>
          </w:p>
          <w:p w:rsidR="00C61054" w:rsidRPr="000B6CFB" w:rsidRDefault="00C61054" w:rsidP="00C61054">
            <w:pPr>
              <w:ind w:firstLine="709"/>
              <w:jc w:val="both"/>
            </w:pPr>
            <w:r w:rsidRPr="000B6CFB">
              <w:t xml:space="preserve">- </w:t>
            </w:r>
            <w:r w:rsidRPr="000B6CFB">
              <w:rPr>
                <w:b/>
              </w:rPr>
              <w:t>будівництво</w:t>
            </w:r>
            <w:r w:rsidRPr="000B6CFB">
              <w:t xml:space="preserve">– 25,3 млн.грн. прибутку, який зріс у 3,3 рази або на 17,6 млн.грн.,  75% прибуткових підприємств (ріст на 11,7 в.п. ), сума їх прибутків скоротилася  у 1,8 рази (-20,2 млн.грн.) і складає  26,3 млн.грн.; </w:t>
            </w:r>
          </w:p>
          <w:p w:rsidR="00C61054" w:rsidRPr="000B6CFB" w:rsidRDefault="00C61054" w:rsidP="00C61054">
            <w:pPr>
              <w:ind w:firstLine="709"/>
              <w:jc w:val="both"/>
            </w:pPr>
            <w:r w:rsidRPr="000B6CFB">
              <w:t xml:space="preserve">- </w:t>
            </w:r>
            <w:r w:rsidRPr="000B6CFB">
              <w:rPr>
                <w:b/>
              </w:rPr>
              <w:t>сільське, лісове та рибне господарство</w:t>
            </w:r>
            <w:r w:rsidRPr="000B6CFB">
              <w:t xml:space="preserve"> – 23,1 млн.грн. прибутку, який збільшився на 0,3% або на 79,5 тис.грн., 93,7% підприємств спрацювали прибутково, сума їхнього прибутку зросла на 32,2% (+7,4 млн.грн.) та становить 30,4 млн.грн. і таке інше.</w:t>
            </w:r>
          </w:p>
          <w:p w:rsidR="00967880" w:rsidRPr="000B6CFB" w:rsidRDefault="00967880" w:rsidP="0000432A">
            <w:pPr>
              <w:pStyle w:val="33"/>
              <w:spacing w:after="0"/>
              <w:ind w:left="0" w:firstLine="459"/>
              <w:jc w:val="both"/>
            </w:pPr>
          </w:p>
        </w:tc>
      </w:tr>
      <w:tr w:rsidR="00967880" w:rsidRPr="000B6CFB" w:rsidTr="009B32B8">
        <w:trPr>
          <w:trHeight w:val="2692"/>
        </w:trPr>
        <w:tc>
          <w:tcPr>
            <w:tcW w:w="1702" w:type="dxa"/>
            <w:shd w:val="clear" w:color="auto" w:fill="FFFFFF" w:themeFill="background1"/>
          </w:tcPr>
          <w:p w:rsidR="000F3C52" w:rsidRPr="000B6CFB" w:rsidRDefault="000F3C52" w:rsidP="000F3C52">
            <w:pPr>
              <w:pStyle w:val="afb"/>
              <w:snapToGrid w:val="0"/>
              <w:rPr>
                <w:i/>
              </w:rPr>
            </w:pPr>
            <w:r w:rsidRPr="000B6CFB">
              <w:rPr>
                <w:i/>
              </w:rPr>
              <w:lastRenderedPageBreak/>
              <w:t>Проблемні</w:t>
            </w:r>
          </w:p>
          <w:p w:rsidR="00967880" w:rsidRPr="000B6CFB" w:rsidRDefault="000F3C52" w:rsidP="000F3C52">
            <w:pPr>
              <w:pStyle w:val="afb"/>
              <w:snapToGrid w:val="0"/>
              <w:jc w:val="left"/>
              <w:rPr>
                <w:i/>
              </w:rPr>
            </w:pPr>
            <w:r w:rsidRPr="000B6CFB">
              <w:rPr>
                <w:i/>
              </w:rPr>
              <w:t>питання</w:t>
            </w:r>
          </w:p>
        </w:tc>
        <w:tc>
          <w:tcPr>
            <w:tcW w:w="9050" w:type="dxa"/>
            <w:shd w:val="clear" w:color="auto" w:fill="FFFFFF" w:themeFill="background1"/>
          </w:tcPr>
          <w:p w:rsidR="00C61054" w:rsidRPr="000B6CFB" w:rsidRDefault="00C61054" w:rsidP="00C61054">
            <w:pPr>
              <w:pStyle w:val="31"/>
              <w:spacing w:after="0"/>
              <w:ind w:left="0" w:firstLine="709"/>
              <w:jc w:val="both"/>
              <w:rPr>
                <w:sz w:val="24"/>
                <w:szCs w:val="24"/>
              </w:rPr>
            </w:pPr>
            <w:r w:rsidRPr="000B6CFB">
              <w:rPr>
                <w:sz w:val="24"/>
                <w:szCs w:val="24"/>
              </w:rPr>
              <w:t xml:space="preserve">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1 півріччя 2016 року сума збитків збиткових підприємств скоротилась проти відповідного періоду 2015 року в 1,6 рази і становить 634,4 млн.грн.    </w:t>
            </w:r>
          </w:p>
          <w:p w:rsidR="00C61054" w:rsidRPr="000B6CFB" w:rsidRDefault="00C61054" w:rsidP="00C61054">
            <w:pPr>
              <w:pStyle w:val="31"/>
              <w:spacing w:after="0"/>
              <w:ind w:left="0" w:firstLine="709"/>
              <w:jc w:val="both"/>
              <w:rPr>
                <w:sz w:val="24"/>
                <w:szCs w:val="24"/>
              </w:rPr>
            </w:pPr>
            <w:r w:rsidRPr="000B6CFB">
              <w:rPr>
                <w:sz w:val="24"/>
                <w:szCs w:val="24"/>
              </w:rPr>
              <w:t>В той же час, на 8 відсоткових пунктів скоротилась питома вага підприємств, які отримали в результаті господарської діяльності збитковий фінансовий результат,  і склала  27,2% загальної кількості підприємств та організацій.</w:t>
            </w:r>
          </w:p>
          <w:p w:rsidR="00C61054" w:rsidRPr="000B6CFB" w:rsidRDefault="00C61054" w:rsidP="00C61054">
            <w:pPr>
              <w:pStyle w:val="31"/>
              <w:spacing w:after="0"/>
              <w:ind w:left="0" w:firstLine="709"/>
              <w:jc w:val="both"/>
              <w:rPr>
                <w:sz w:val="24"/>
                <w:szCs w:val="24"/>
              </w:rPr>
            </w:pPr>
            <w:r w:rsidRPr="000B6CFB">
              <w:rPr>
                <w:sz w:val="24"/>
                <w:szCs w:val="24"/>
              </w:rPr>
              <w:t xml:space="preserve">Із збитками більше 1 млн.грн. за січень-червень 2016 року спрацювало 37 суб’єктів підприємницької діяльності області і їх кількість у порівнянні з відповідним періодом минулого року скоротилась на 20 підприємств. </w:t>
            </w:r>
          </w:p>
          <w:p w:rsidR="00C61054" w:rsidRPr="000B6CFB" w:rsidRDefault="00C61054" w:rsidP="00C61054">
            <w:pPr>
              <w:pStyle w:val="33"/>
              <w:spacing w:after="0"/>
              <w:ind w:left="0" w:firstLine="709"/>
              <w:jc w:val="both"/>
              <w:rPr>
                <w:i/>
                <w:sz w:val="24"/>
                <w:szCs w:val="24"/>
              </w:rPr>
            </w:pPr>
            <w:r w:rsidRPr="000B6CFB">
              <w:rPr>
                <w:sz w:val="24"/>
                <w:szCs w:val="24"/>
              </w:rPr>
              <w:t xml:space="preserve">Значний  вплив на результати діяльності економіки області за січень-червень 2016 року мала збиткова в цілому діяльність підприємств </w:t>
            </w:r>
            <w:r w:rsidRPr="000B6CFB">
              <w:rPr>
                <w:b/>
                <w:sz w:val="24"/>
                <w:szCs w:val="24"/>
              </w:rPr>
              <w:t xml:space="preserve">транспорту, складського господарства, поштової та кур’єрської діяльності, </w:t>
            </w:r>
            <w:r w:rsidRPr="000B6CFB">
              <w:rPr>
                <w:sz w:val="24"/>
                <w:szCs w:val="24"/>
              </w:rPr>
              <w:t>які отримали негативний сальдовий фінансовий результат у сумі 77,7 млн.грн. збитку, обсяг якого в порівнянні із аналогічним періодом попереднього року зменшився у 2,5 рази, або на 117,1 млн.грн. Питома вага збиткових підприємств цього виду діяльності скоротилась на 0,9 в.п. (становить 42,9%), а сума одержаних  ними збитків зменшилась у 2,5 рази і склала 91,1 млн.грн</w:t>
            </w:r>
            <w:r w:rsidRPr="000B6CFB">
              <w:rPr>
                <w:i/>
                <w:sz w:val="24"/>
                <w:szCs w:val="24"/>
              </w:rPr>
              <w:t xml:space="preserve">. </w:t>
            </w:r>
          </w:p>
          <w:p w:rsidR="00C61054" w:rsidRPr="000B6CFB" w:rsidRDefault="00C61054" w:rsidP="00C61054">
            <w:pPr>
              <w:pStyle w:val="33"/>
              <w:spacing w:after="0"/>
              <w:ind w:left="0" w:firstLine="709"/>
              <w:jc w:val="both"/>
              <w:rPr>
                <w:sz w:val="24"/>
                <w:szCs w:val="24"/>
              </w:rPr>
            </w:pPr>
            <w:r w:rsidRPr="000B6CFB">
              <w:rPr>
                <w:sz w:val="24"/>
                <w:szCs w:val="24"/>
              </w:rPr>
              <w:t xml:space="preserve">В цілому за 6 місяців поточного року підприємства галузі </w:t>
            </w:r>
            <w:r w:rsidRPr="000B6CFB">
              <w:rPr>
                <w:b/>
                <w:i/>
                <w:sz w:val="24"/>
                <w:szCs w:val="24"/>
              </w:rPr>
              <w:t>промисловість</w:t>
            </w:r>
            <w:r w:rsidRPr="000B6CFB">
              <w:rPr>
                <w:sz w:val="24"/>
                <w:szCs w:val="24"/>
              </w:rPr>
              <w:t xml:space="preserve">спрацювалаприбутково, проте    спрацювали підприємства одного виду діяльності -  </w:t>
            </w:r>
            <w:r w:rsidRPr="000B6CFB">
              <w:rPr>
                <w:i/>
                <w:sz w:val="24"/>
                <w:szCs w:val="24"/>
              </w:rPr>
              <w:t>водопостачання, каналізації, поводження з відходами</w:t>
            </w:r>
            <w:r w:rsidRPr="000B6CFB">
              <w:rPr>
                <w:sz w:val="24"/>
                <w:szCs w:val="24"/>
              </w:rPr>
              <w:t>збитково</w:t>
            </w:r>
            <w:r w:rsidRPr="000B6CFB">
              <w:rPr>
                <w:i/>
                <w:sz w:val="24"/>
                <w:szCs w:val="24"/>
              </w:rPr>
              <w:t xml:space="preserve">. </w:t>
            </w:r>
            <w:r w:rsidRPr="000B6CFB">
              <w:rPr>
                <w:sz w:val="24"/>
                <w:szCs w:val="24"/>
              </w:rPr>
              <w:t>Ними отримано 13,8 млн.грн. збитку, який до відповідного періоду минулого року зріс на 8,2% або на 1,05 млн.грн. Частка збиткових підприємств зазначеного виду діяльності  становить 57,1% і скоротилась на 22,9 в.п, а сума одержаних ними збитків зросла на 20,6% (+2,8 млн.грн.) та становить 16,5 млн.грн.</w:t>
            </w:r>
          </w:p>
          <w:p w:rsidR="00C61054" w:rsidRPr="000B6CFB" w:rsidRDefault="00C61054" w:rsidP="00C61054">
            <w:pPr>
              <w:ind w:firstLine="709"/>
              <w:jc w:val="both"/>
            </w:pPr>
            <w:r w:rsidRPr="000B6CFB">
              <w:t xml:space="preserve">Також неефективно спрацювали в результаті господарської діяльності підприємства, які займаються </w:t>
            </w:r>
            <w:r w:rsidRPr="000B6CFB">
              <w:rPr>
                <w:b/>
              </w:rPr>
              <w:t xml:space="preserve">тимчасовим розміщенням й організацією харчування </w:t>
            </w:r>
            <w:r w:rsidRPr="000B6CFB">
              <w:rPr>
                <w:i/>
              </w:rPr>
              <w:t xml:space="preserve"> (391 тис.грн. збитку,  що зменшився до рівня січня-червня  2015 року у 4 рази або на 1,2 млн.грн. Частка збиткових підприємств зменшилась на 10 в.п. і становить 50%, а сума їх збитків зросла у 1,6 рази, і склала 759 тис.грн.</w:t>
            </w:r>
            <w:r w:rsidRPr="000B6CFB">
              <w:t xml:space="preserve"> ) та  </w:t>
            </w:r>
            <w:r w:rsidRPr="000B6CFB">
              <w:rPr>
                <w:b/>
              </w:rPr>
              <w:t>у сфері адміністративного та допоміжного обслуговування</w:t>
            </w:r>
            <w:r w:rsidRPr="000B6CFB">
              <w:rPr>
                <w:i/>
              </w:rPr>
              <w:t xml:space="preserve"> (відповідно 379 тис.грн., тоді як за 6 місяців 2015 року сальдовий фінансовий результат становив 2 тис.грн. прибутку. Частка збиткових підприємств складає 35,3%, а сума їх збитків зросла у 1,7 рази і становить 890 тис.грн</w:t>
            </w:r>
            <w:r w:rsidRPr="000B6CFB">
              <w:t>.).</w:t>
            </w:r>
          </w:p>
          <w:p w:rsidR="00C61054" w:rsidRPr="000B6CFB" w:rsidRDefault="00C61054" w:rsidP="00C61054">
            <w:pPr>
              <w:ind w:firstLine="709"/>
              <w:jc w:val="both"/>
            </w:pPr>
          </w:p>
          <w:p w:rsidR="00C61054" w:rsidRPr="000B6CFB" w:rsidRDefault="00C61054" w:rsidP="00C61054">
            <w:pPr>
              <w:ind w:firstLine="709"/>
              <w:jc w:val="both"/>
            </w:pPr>
            <w:r w:rsidRPr="000B6CFB">
              <w:t xml:space="preserve">При проведенні аналізу фінансово-господарської діяльності підприємств області, можна відмітити основні чинники, що зумовлюють  їх неефективну роботу:  </w:t>
            </w:r>
          </w:p>
          <w:p w:rsidR="00C61054" w:rsidRPr="000B6CFB" w:rsidRDefault="00C61054" w:rsidP="00C61054">
            <w:pPr>
              <w:ind w:firstLine="709"/>
              <w:jc w:val="both"/>
            </w:pPr>
            <w:r w:rsidRPr="000B6CFB">
              <w:t>1.  Значні втрати від курсових різниць.</w:t>
            </w:r>
          </w:p>
          <w:p w:rsidR="00C61054" w:rsidRPr="000B6CFB" w:rsidRDefault="00C61054" w:rsidP="00C61054">
            <w:pPr>
              <w:ind w:firstLine="709"/>
              <w:jc w:val="both"/>
            </w:pPr>
            <w:r w:rsidRPr="000B6CFB">
              <w:t>2. Збільшення витрат операційної діяльності за рахунок зростання цін на сировину, матеріали, комплектуючі, енергоносії та тарифів на перевезення вантажів, а також значних сум витрат за надання маркетингових послуг.</w:t>
            </w:r>
          </w:p>
          <w:p w:rsidR="00C61054" w:rsidRPr="000B6CFB" w:rsidRDefault="00C61054" w:rsidP="00C61054">
            <w:pPr>
              <w:ind w:firstLine="709"/>
              <w:jc w:val="both"/>
            </w:pPr>
            <w:r w:rsidRPr="000B6CFB">
              <w:t>3. Низька завантаженість виробничих потужностей суб'єктів господарювання і в результаті спад обсягів виробництва та реалізації продукції, виконання  робіт  та послуг.</w:t>
            </w:r>
          </w:p>
          <w:p w:rsidR="00C61054" w:rsidRPr="000B6CFB" w:rsidRDefault="00C61054" w:rsidP="00C61054">
            <w:pPr>
              <w:ind w:firstLine="709"/>
              <w:jc w:val="both"/>
            </w:pPr>
            <w:r w:rsidRPr="000B6CFB">
              <w:t>4. Неможливість реалізації виконання раніше укладених договорів у зв’язку із рядом економічних і політичних факторів, які негативно вплинули на виконання зобов’язань, згідно договорів закупівлі-продажу, а також припинення господарської діяльності ряду суб'єктів господарювання.</w:t>
            </w:r>
          </w:p>
          <w:p w:rsidR="00C61054" w:rsidRPr="000B6CFB" w:rsidRDefault="00C61054" w:rsidP="00C61054">
            <w:pPr>
              <w:ind w:firstLine="709"/>
              <w:jc w:val="both"/>
            </w:pPr>
            <w:r w:rsidRPr="000B6CFB">
              <w:t>5. Технічно та морально застаріле обладнання у більшості суб'єктів господарювання різних галузей економіки, що призводить до збільшення витрат на його обслуговування.</w:t>
            </w:r>
          </w:p>
          <w:p w:rsidR="00C61054" w:rsidRPr="000B6CFB" w:rsidRDefault="00C61054" w:rsidP="00C61054">
            <w:pPr>
              <w:ind w:firstLine="709"/>
              <w:jc w:val="both"/>
            </w:pPr>
            <w:r w:rsidRPr="000B6CFB">
              <w:t xml:space="preserve">6. Реалізація основних засобів за ціною, нижчою ніж залишкова вартість. </w:t>
            </w:r>
          </w:p>
          <w:p w:rsidR="00C61054" w:rsidRPr="000B6CFB" w:rsidRDefault="00C61054" w:rsidP="00C61054">
            <w:pPr>
              <w:ind w:firstLine="709"/>
              <w:jc w:val="both"/>
            </w:pPr>
            <w:r w:rsidRPr="000B6CFB">
              <w:t xml:space="preserve">7. Збільшення загальновиробничих витрат та значний дефіцит обігових коштів, покриття якого за рахунок короткотермінових кредитів в умовах фінансової та банківської кризи в Україні є проблематичним. </w:t>
            </w:r>
          </w:p>
          <w:p w:rsidR="00C61054" w:rsidRPr="000B6CFB" w:rsidRDefault="00C61054" w:rsidP="00C61054">
            <w:pPr>
              <w:ind w:firstLine="709"/>
              <w:jc w:val="both"/>
            </w:pPr>
            <w:r w:rsidRPr="000B6CFB">
              <w:lastRenderedPageBreak/>
              <w:t>8. Наявність великих обсягів взаємних неплатежів (значні суми дебіторської та кредиторської заборгованості).</w:t>
            </w:r>
          </w:p>
          <w:p w:rsidR="00C61054" w:rsidRPr="000B6CFB" w:rsidRDefault="00C61054" w:rsidP="00C61054">
            <w:pPr>
              <w:ind w:firstLine="709"/>
              <w:jc w:val="both"/>
            </w:pPr>
          </w:p>
          <w:p w:rsidR="00C61054" w:rsidRPr="000B6CFB" w:rsidRDefault="00C61054" w:rsidP="00C61054">
            <w:pPr>
              <w:ind w:firstLine="709"/>
              <w:jc w:val="both"/>
            </w:pPr>
            <w:r w:rsidRPr="000B6CFB">
              <w:t>З метою досягнення беззбиткової діяльності суб’єктів господарювання  та нарощення надходжень до бюджету області в 2016 році виконуються «</w:t>
            </w:r>
            <w:r w:rsidRPr="000B6CFB">
              <w:rPr>
                <w:u w:val="single"/>
              </w:rPr>
              <w:t>Заходи щодо забезпечення економічного розвитку Вінницької області, подоланню збитковості підприємств та збільшення бази оподаткування на 2016 рік</w:t>
            </w:r>
            <w:r w:rsidRPr="000B6CFB">
              <w:t>», які затверджені першим заступником голови обласної державної адміністрації  від 24.02.2016 року №01.01-11/1276.</w:t>
            </w:r>
          </w:p>
          <w:p w:rsidR="00C61054" w:rsidRPr="000B6CFB" w:rsidRDefault="00C61054" w:rsidP="00C61054">
            <w:pPr>
              <w:pStyle w:val="ab"/>
              <w:ind w:firstLine="709"/>
              <w:rPr>
                <w:sz w:val="24"/>
                <w:szCs w:val="24"/>
              </w:rPr>
            </w:pPr>
            <w:r w:rsidRPr="000B6CFB">
              <w:rPr>
                <w:sz w:val="24"/>
                <w:szCs w:val="24"/>
              </w:rPr>
              <w:t>З метою створення позитивного іміджу регіону, його промоції та залучення прямих іноземних інвестицій проводиться низка заходів, зокрема створюються інформаційні буклети про область, видаються інвестиційні паспорти, офіційні делегації від Вінниччини постійно приймають участь у міжнародних економічних заходах.</w:t>
            </w:r>
          </w:p>
          <w:p w:rsidR="00C61054" w:rsidRPr="000B6CFB" w:rsidRDefault="00C61054" w:rsidP="00C61054">
            <w:pPr>
              <w:ind w:firstLine="709"/>
              <w:jc w:val="both"/>
            </w:pPr>
            <w:r w:rsidRPr="000B6CFB">
              <w:t xml:space="preserve">Ключовим критерієм даної роботи є донесення інформації до найширшого кола осіб, зокрема використовуючи всесвітню мережу </w:t>
            </w:r>
            <w:r w:rsidRPr="000B6CFB">
              <w:rPr>
                <w:lang w:val="en-US"/>
              </w:rPr>
              <w:t>Internet</w:t>
            </w:r>
            <w:r w:rsidRPr="000B6CFB">
              <w:t xml:space="preserve">. В області діє спеціалізований веб-ресурс – інвестиційний портал Вінниччини – </w:t>
            </w:r>
            <w:hyperlink r:id="rId8" w:history="1">
              <w:r w:rsidRPr="000B6CFB">
                <w:rPr>
                  <w:rStyle w:val="a3"/>
                </w:rPr>
                <w:t>www.vininvest.gov.ua</w:t>
              </w:r>
            </w:hyperlink>
            <w:r w:rsidRPr="000B6CFB">
              <w:t>. Інформація про інвестиційний потенціал області, проекти, що пропонуються інвесторам для реалізації, стартові майданчики для реалізації проектів, зокрема вільні земельні ділянки та непрацюючі виробничі потужності, висвітлюється на даному сайті двома мовами – українською та  англійською.</w:t>
            </w:r>
          </w:p>
          <w:p w:rsidR="00967880" w:rsidRPr="000B6CFB" w:rsidRDefault="00C61054" w:rsidP="00AF5918">
            <w:pPr>
              <w:ind w:firstLine="709"/>
              <w:jc w:val="both"/>
            </w:pPr>
            <w:r w:rsidRPr="000B6CFB">
              <w:t>Завдяки злагодженій та плідній роботі з департаментами та управліннями облдержадміністрації, райдержадміністраціями та Головним управлінням статистики у Вінницькій області інформація на інвестиційному порталі Вінниччини оновлюється щомісячно.</w:t>
            </w:r>
          </w:p>
        </w:tc>
      </w:tr>
    </w:tbl>
    <w:p w:rsidR="00491A6D" w:rsidRPr="000B6CFB" w:rsidRDefault="00491A6D" w:rsidP="00CB796B">
      <w:pPr>
        <w:pStyle w:val="32"/>
        <w:spacing w:after="0"/>
        <w:ind w:firstLine="284"/>
        <w:jc w:val="center"/>
        <w:outlineLvl w:val="0"/>
        <w:rPr>
          <w:b/>
          <w:sz w:val="24"/>
          <w:szCs w:val="24"/>
        </w:rPr>
      </w:pPr>
    </w:p>
    <w:p w:rsidR="00680542" w:rsidRPr="000B6CFB" w:rsidRDefault="00990799" w:rsidP="00CB796B">
      <w:pPr>
        <w:pStyle w:val="32"/>
        <w:spacing w:after="0"/>
        <w:ind w:firstLine="284"/>
        <w:jc w:val="center"/>
        <w:outlineLvl w:val="0"/>
        <w:rPr>
          <w:b/>
          <w:sz w:val="24"/>
          <w:szCs w:val="24"/>
        </w:rPr>
      </w:pPr>
      <w:r w:rsidRPr="000B6CFB">
        <w:rPr>
          <w:b/>
          <w:sz w:val="24"/>
          <w:szCs w:val="24"/>
        </w:rPr>
        <w:t>ПОДАТКОВІ НАДХОДЖЕННЯ</w:t>
      </w: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5"/>
        <w:gridCol w:w="7"/>
        <w:gridCol w:w="9072"/>
      </w:tblGrid>
      <w:tr w:rsidR="00A156B8" w:rsidRPr="000B6CFB" w:rsidTr="00EB0632">
        <w:trPr>
          <w:trHeight w:val="424"/>
        </w:trPr>
        <w:tc>
          <w:tcPr>
            <w:tcW w:w="1702" w:type="dxa"/>
            <w:gridSpan w:val="2"/>
            <w:shd w:val="clear" w:color="auto" w:fill="auto"/>
          </w:tcPr>
          <w:p w:rsidR="00A156B8" w:rsidRPr="000B6CFB" w:rsidRDefault="00A156B8" w:rsidP="00CB796B">
            <w:pPr>
              <w:pStyle w:val="af4"/>
              <w:snapToGrid w:val="0"/>
              <w:rPr>
                <w:rFonts w:ascii="Times New Roman" w:hAnsi="Times New Roman" w:cs="Times New Roman"/>
                <w:b/>
                <w:i/>
                <w:iCs/>
                <w:sz w:val="24"/>
                <w:szCs w:val="24"/>
                <w:lang w:val="uk-UA"/>
              </w:rPr>
            </w:pPr>
            <w:r w:rsidRPr="000B6CFB">
              <w:rPr>
                <w:rFonts w:ascii="Times New Roman" w:hAnsi="Times New Roman" w:cs="Times New Roman"/>
                <w:b/>
                <w:i/>
                <w:iCs/>
                <w:sz w:val="24"/>
                <w:szCs w:val="24"/>
                <w:lang w:val="uk-UA"/>
              </w:rPr>
              <w:t>Виконання показників Зведеного та Державного бюджетів</w:t>
            </w:r>
          </w:p>
        </w:tc>
        <w:tc>
          <w:tcPr>
            <w:tcW w:w="9072" w:type="dxa"/>
            <w:shd w:val="clear" w:color="auto" w:fill="auto"/>
          </w:tcPr>
          <w:p w:rsidR="00C61054" w:rsidRPr="000B6CFB" w:rsidRDefault="00C61054" w:rsidP="00C61054">
            <w:pPr>
              <w:snapToGrid w:val="0"/>
              <w:ind w:firstLine="709"/>
              <w:jc w:val="both"/>
            </w:pPr>
            <w:r w:rsidRPr="000B6CFB">
              <w:rPr>
                <w:u w:val="single"/>
              </w:rPr>
              <w:t>Відповідно до даних  Головного управління державної казначейської служби України у Вінницькій області</w:t>
            </w:r>
            <w:r w:rsidRPr="000B6CFB">
              <w:t xml:space="preserve">,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січень-липень 2016 року в порівнянні з січнем-липнем 2015 року на 15,3%, або на 666,6 млн.грн. і становлять 5030,5 млн.грн. В тому числі надходження до Державного бюджету склали 2206,5 млн.грн., їх обсяг скоротився  на  8,2%, або на 197 млн.грн. </w:t>
            </w:r>
          </w:p>
          <w:p w:rsidR="00C61054" w:rsidRPr="000B6CFB" w:rsidRDefault="00C61054" w:rsidP="00C61054">
            <w:pPr>
              <w:ind w:firstLine="709"/>
              <w:jc w:val="both"/>
            </w:pPr>
            <w:r w:rsidRPr="000B6CFB">
              <w:t xml:space="preserve">В тому числі, </w:t>
            </w:r>
            <w:r w:rsidRPr="000B6CFB">
              <w:rPr>
                <w:u w:val="single"/>
              </w:rPr>
              <w:t>відповідно до даних Головного управління ДФС у Вінницькій області</w:t>
            </w:r>
            <w:r w:rsidRPr="000B6CFB">
              <w:t xml:space="preserve"> протягом січня-липня 2016 року до бюджетів усіх рівнів зібрано 4130,3</w:t>
            </w:r>
            <w:r w:rsidRPr="000B6CFB">
              <w:rPr>
                <w:sz w:val="28"/>
                <w:szCs w:val="28"/>
              </w:rPr>
              <w:t> </w:t>
            </w:r>
            <w:r w:rsidRPr="000B6CFB">
              <w:t>млн.грн. податків і зборів, що на 30,3%, або на 960,5 млн.грн.  більше ніж у відповідному періоді 2015 року (з урахуванням надходжень 137,7 млн.грн. податку на прибуток по великих платниках податків (далі - ВПП)).</w:t>
            </w:r>
          </w:p>
          <w:p w:rsidR="00C61054" w:rsidRPr="000B6CFB" w:rsidRDefault="00C61054" w:rsidP="00C61054">
            <w:pPr>
              <w:ind w:firstLine="709"/>
              <w:jc w:val="both"/>
            </w:pPr>
            <w:r w:rsidRPr="000B6CFB">
              <w:t>До Державного бюджету зібрано 1758,4 млн.грн., що на 170,1</w:t>
            </w:r>
            <w:r w:rsidRPr="000B6CFB">
              <w:rPr>
                <w:lang w:val="en-US"/>
              </w:rPr>
              <w:t> </w:t>
            </w:r>
            <w:r w:rsidRPr="000B6CFB">
              <w:t>млн.грн., або на 10,7%  більше аналогічного періоду минулого року (з урахуванням надходжень 123,9 млн.грн. податку на прибуток по ВПП).</w:t>
            </w:r>
          </w:p>
          <w:p w:rsidR="00C61054" w:rsidRPr="000B6CFB" w:rsidRDefault="00C61054" w:rsidP="00C61054">
            <w:pPr>
              <w:ind w:firstLine="709"/>
              <w:jc w:val="both"/>
            </w:pPr>
            <w:r w:rsidRPr="000B6CFB">
              <w:t xml:space="preserve">   Збільшення збору платежів відбулося, незважаючи на перехід з початку звітного року 26 підприємств області, включених до Реєстру великих платників на 2016 рік, на обслуговування до спеціалізованих податкових органів. У січні-липні минулого року від цих платників до державного бюджету, на території області, надійшло 599,5 млн.грн. (в т.ч.: 346</w:t>
            </w:r>
            <w:r w:rsidRPr="000B6CFB">
              <w:rPr>
                <w:lang w:val="ru-RU"/>
              </w:rPr>
              <w:t> </w:t>
            </w:r>
            <w:r w:rsidRPr="000B6CFB">
              <w:t>млн.грн. акцизного податку, 151,5</w:t>
            </w:r>
            <w:r w:rsidRPr="000B6CFB">
              <w:rPr>
                <w:lang w:val="ru-RU"/>
              </w:rPr>
              <w:t> </w:t>
            </w:r>
            <w:r w:rsidRPr="000B6CFB">
              <w:t>млн.грн. ПДВ, 71,9</w:t>
            </w:r>
            <w:r w:rsidRPr="000B6CFB">
              <w:rPr>
                <w:lang w:val="ru-RU"/>
              </w:rPr>
              <w:t> </w:t>
            </w:r>
            <w:r w:rsidRPr="000B6CFB">
              <w:t>млн.грн. податку на прибуток, 17,3</w:t>
            </w:r>
            <w:r w:rsidRPr="000B6CFB">
              <w:rPr>
                <w:lang w:val="ru-RU"/>
              </w:rPr>
              <w:t> </w:t>
            </w:r>
            <w:r w:rsidRPr="000B6CFB">
              <w:t>млн.грн. ПДФО та 10,2</w:t>
            </w:r>
            <w:r w:rsidRPr="000B6CFB">
              <w:rPr>
                <w:lang w:val="ru-RU"/>
              </w:rPr>
              <w:t> </w:t>
            </w:r>
            <w:r w:rsidRPr="000B6CFB">
              <w:t>млн.грн. військового збору),тоді як у січні-липні 2016 року лише 163,3 млн.грн. (в т.ч.: 123,9 млн.грн. податку на прибуток, 26,8 млн.грн. ПДФО та 10,4 млн.грн.  військового збору).</w:t>
            </w:r>
          </w:p>
          <w:p w:rsidR="00C61054" w:rsidRPr="000B6CFB" w:rsidRDefault="00C61054" w:rsidP="00C61054">
            <w:pPr>
              <w:ind w:firstLine="709"/>
              <w:jc w:val="both"/>
              <w:rPr>
                <w:i/>
              </w:rPr>
            </w:pPr>
            <w:r w:rsidRPr="000B6CFB">
              <w:t xml:space="preserve">З урахуванням бюджетного відшкодування грошовим и коштами податку на додану вартість </w:t>
            </w:r>
            <w:r w:rsidRPr="000B6CFB">
              <w:rPr>
                <w:i/>
              </w:rPr>
              <w:t>(560,9 млн.грн., скорочення  до січня-липня 2015 року на 2,4%)</w:t>
            </w:r>
            <w:r w:rsidRPr="000B6CFB">
              <w:t>, фактичні надходження до Зведеного бюджету за січень-липень 2016 року  склали 3569,4 млн.грн. (</w:t>
            </w:r>
            <w:r w:rsidRPr="000B6CFB">
              <w:rPr>
                <w:i/>
              </w:rPr>
              <w:t>зросли на 974,2 млн.грн., або на 37,5%)</w:t>
            </w:r>
            <w:r w:rsidRPr="000B6CFB">
              <w:t xml:space="preserve"> а до Державного бюджету - відповідно 1197,5 млн.грн</w:t>
            </w:r>
            <w:r w:rsidRPr="000B6CFB">
              <w:rPr>
                <w:i/>
              </w:rPr>
              <w:t>. (зросли на 183,8 млн.грн., або на 18,1%).</w:t>
            </w:r>
          </w:p>
          <w:p w:rsidR="00C61054" w:rsidRPr="000B6CFB" w:rsidRDefault="00C61054" w:rsidP="00C61054">
            <w:pPr>
              <w:ind w:firstLine="709"/>
              <w:jc w:val="both"/>
              <w:rPr>
                <w:i/>
              </w:rPr>
            </w:pPr>
            <w:r w:rsidRPr="000B6CFB">
              <w:lastRenderedPageBreak/>
              <w:t xml:space="preserve">Питома вага надходжень до державного бюджету у структурі бюджетів усіх рівнів зменшилась на 5,6 відсоткових пункти і складає 33,5% </w:t>
            </w:r>
            <w:r w:rsidRPr="000B6CFB">
              <w:rPr>
                <w:i/>
              </w:rPr>
              <w:t>(збір податків і зборів -  відповідно на 7,5  в.п менше, складає 42,6%).</w:t>
            </w:r>
          </w:p>
          <w:p w:rsidR="00C61054" w:rsidRPr="000B6CFB" w:rsidRDefault="00C61054" w:rsidP="00C61054">
            <w:pPr>
              <w:ind w:firstLine="709"/>
              <w:jc w:val="both"/>
            </w:pPr>
            <w:r w:rsidRPr="000B6CFB">
              <w:t>В структурі надходжень до Зведеного бюджету по Вінницькій області за  січень-липень 2016 року найбільшу питому вагу займають: податок з доходів фізичних осіб – 50,3% (</w:t>
            </w:r>
            <w:r w:rsidRPr="000B6CFB">
              <w:rPr>
                <w:i/>
              </w:rPr>
              <w:t>його сума становила 1796,2 млн.грн</w:t>
            </w:r>
            <w:r w:rsidRPr="000B6CFB">
              <w:t xml:space="preserve">.), податок на прибуток – 10,3% </w:t>
            </w:r>
            <w:r w:rsidRPr="000B6CFB">
              <w:rPr>
                <w:i/>
              </w:rPr>
              <w:t xml:space="preserve">(367,6 млн.грн.), </w:t>
            </w:r>
            <w:r w:rsidRPr="000B6CFB">
              <w:t>плата за землю – 9,6% (</w:t>
            </w:r>
            <w:r w:rsidRPr="000B6CFB">
              <w:rPr>
                <w:i/>
              </w:rPr>
              <w:t>341,6 млн.грн.</w:t>
            </w:r>
            <w:r w:rsidRPr="000B6CFB">
              <w:t>), єдиний податок – 9% (</w:t>
            </w:r>
            <w:r w:rsidRPr="000B6CFB">
              <w:rPr>
                <w:i/>
              </w:rPr>
              <w:t xml:space="preserve">322,9 млн.грн.), </w:t>
            </w:r>
            <w:r w:rsidRPr="000B6CFB">
              <w:t xml:space="preserve">акцизний податок з реалізації підакцизних товарів – 5,8% </w:t>
            </w:r>
            <w:r w:rsidRPr="000B6CFB">
              <w:rPr>
                <w:i/>
              </w:rPr>
              <w:t>(206,4 млн. грн.),</w:t>
            </w:r>
            <w:r w:rsidRPr="000B6CFB">
              <w:t xml:space="preserve"> військовий збір  - 4,4% </w:t>
            </w:r>
            <w:r w:rsidRPr="000B6CFB">
              <w:rPr>
                <w:i/>
              </w:rPr>
              <w:t>(158,2 млн.грн.)</w:t>
            </w:r>
            <w:r w:rsidRPr="000B6CFB">
              <w:t xml:space="preserve"> та інші.</w:t>
            </w:r>
          </w:p>
          <w:p w:rsidR="00C61054" w:rsidRPr="000B6CFB" w:rsidRDefault="00C61054" w:rsidP="00C61054">
            <w:pPr>
              <w:ind w:firstLine="709"/>
              <w:jc w:val="both"/>
            </w:pPr>
            <w:r w:rsidRPr="000B6CFB">
              <w:t>За 7 місяців  2016 року   приріст надходжень складає: податку на доходи фізичних осіб – в 1,5 рази (+624,8 млн.грн.), єдиного податку – в 1,6 рази (+120,9 млн.грн.), податку на прибуток підприємств – на 46,6% (+116,9 млн.грн.), плати за землю – на 43,2% (+103 млн.грн.), акцизного податку з реалізації підакцизних товарів – майже в 1,7 рази (+82,5 млн.грн.), військового збору – на 27,6% (+34,3</w:t>
            </w:r>
            <w:r w:rsidRPr="000B6CFB">
              <w:rPr>
                <w:lang w:val="en-US"/>
              </w:rPr>
              <w:t> </w:t>
            </w:r>
            <w:r w:rsidRPr="000B6CFB">
              <w:t>млн.грн.) тощо.</w:t>
            </w:r>
          </w:p>
          <w:p w:rsidR="00C61054" w:rsidRPr="000B6CFB" w:rsidRDefault="00C61054" w:rsidP="00C61054">
            <w:pPr>
              <w:tabs>
                <w:tab w:val="left" w:pos="9139"/>
                <w:tab w:val="left" w:pos="9639"/>
              </w:tabs>
              <w:ind w:firstLine="709"/>
              <w:jc w:val="both"/>
            </w:pPr>
            <w:r w:rsidRPr="000B6CFB">
              <w:t xml:space="preserve">  Найбільші суми податків до бюджетів усіх рівнів сплачено підприємствами промисловості. Протягом січня-липня 2016 року до Зведеного бюджету від них надійшло 799 млн.грн. (без врахування надходжень по ВПП), що становить 20% від загального збору платежів по області. До Державного бюджету України промисловим комплексом області сплачено 382,1 млн.грн. (23,4% від загального збору податків до державного бюджету по області).</w:t>
            </w:r>
          </w:p>
          <w:p w:rsidR="00C61054" w:rsidRPr="000B6CFB" w:rsidRDefault="00C61054" w:rsidP="00C61054">
            <w:pPr>
              <w:tabs>
                <w:tab w:val="left" w:pos="9139"/>
                <w:tab w:val="left" w:pos="9639"/>
              </w:tabs>
              <w:ind w:firstLine="709"/>
              <w:jc w:val="both"/>
            </w:pPr>
            <w:r w:rsidRPr="000B6CFB">
              <w:t xml:space="preserve">Домінуюче положення в надходженнях від підприємств промисловості належить харчовій галузі, доля якої в зборі платежів до Зведеного бюджету складає 33,8% (сплачено 270 млн.грн.), до державного бюджету – 35,6% (сплачено 136 млн.грн.). </w:t>
            </w:r>
          </w:p>
          <w:p w:rsidR="00C61054" w:rsidRPr="000B6CFB" w:rsidRDefault="00C61054" w:rsidP="00C61054">
            <w:pPr>
              <w:tabs>
                <w:tab w:val="left" w:pos="9139"/>
                <w:tab w:val="left" w:pos="9639"/>
              </w:tabs>
              <w:ind w:firstLine="709"/>
              <w:jc w:val="both"/>
            </w:pPr>
            <w:r w:rsidRPr="000B6CFB">
              <w:t xml:space="preserve">Основні надходження забезпечено виробниками молочних продуктів та м’яса і м’ясних продуктів. Так, від виробників м’яса і м’ясних продуктів до Зведеного бюджету надійшло 60,6 млн.грн. (22,4% від загальних надходжень по харчовій галузі), в т.ч. до державного бюджету – 36,2 млн.грн. (26,6% від загальних надходжень по харчовій галузі). Підприємствами, що займаються виробництвом молочних продуктів сплачено 48,8 млн.грн. (18,1% від загальних надходжень по харчовій галузі), в т.ч. до державного бюджету – 20,4 млн.грн. (15% від загальних надходжень по харчовій галузі). </w:t>
            </w:r>
          </w:p>
          <w:p w:rsidR="00C61054" w:rsidRPr="000B6CFB" w:rsidRDefault="00C61054" w:rsidP="00C61054">
            <w:pPr>
              <w:tabs>
                <w:tab w:val="left" w:pos="9139"/>
                <w:tab w:val="left" w:pos="9639"/>
              </w:tabs>
              <w:ind w:firstLine="709"/>
              <w:jc w:val="both"/>
            </w:pPr>
            <w:r w:rsidRPr="000B6CFB">
              <w:t>Підприємствами, що займаються виробництвом та розподіленням електроенергії, газу та води протягом січня-липня 2016 року сплачено до Зведеного бюджету 221,6 млн.грн., що складає 27,7% від суми податків сплачених промисловим комплексом області. Надходження до державного бюджету від цих платників склали 74,7 млн.грн., що становить 19,6% надходжень від підприємств промисловості.</w:t>
            </w:r>
          </w:p>
          <w:p w:rsidR="00C61054" w:rsidRPr="000B6CFB" w:rsidRDefault="00C61054" w:rsidP="00C61054">
            <w:pPr>
              <w:tabs>
                <w:tab w:val="left" w:pos="9139"/>
                <w:tab w:val="left" w:pos="9639"/>
              </w:tabs>
              <w:ind w:firstLine="709"/>
              <w:jc w:val="both"/>
            </w:pPr>
            <w:r w:rsidRPr="000B6CFB">
              <w:t>Від підприємств машинобудування у січні-липні 2016 року до Зведеного бюджету надійшло 76,9 млн.грн., що складає 9,6% від суми податків сплачених промисловим комплексом області. Надходження до державного бюджету від цих платників склали 51,1 млн.грн. (13,4% від сум сплачених підприємствами промисловості).</w:t>
            </w:r>
          </w:p>
          <w:p w:rsidR="00C61054" w:rsidRPr="000B6CFB" w:rsidRDefault="00C61054" w:rsidP="00C61054">
            <w:pPr>
              <w:tabs>
                <w:tab w:val="left" w:pos="8538"/>
                <w:tab w:val="left" w:pos="9639"/>
              </w:tabs>
              <w:ind w:firstLine="709"/>
              <w:jc w:val="both"/>
            </w:pPr>
            <w:r w:rsidRPr="000B6CFB">
              <w:t>Внаслідок внесених змін до податкового законодавства, в області значно збільшилась в загальній сумі надходжень питома вага платників, що займаються сільським господарством та мисливством. Якщо в січні - липні 2015 року  вона становила в Зведеному бюджеті 10,2% (було сплачено 324 млн.грн.), а в державному бюджеті – 5% (надійшло 79,2 млн.грн.), то в січні-липні 2016 році в Зведеному бюджеті їх  частка в структурі надходжень  зросла до 18,1% (сплачено 721,3 млн.грн.), в державному бюджеті - до 21,3% (надійшло 348 млн.грн.).</w:t>
            </w:r>
          </w:p>
          <w:p w:rsidR="00C61054" w:rsidRPr="000B6CFB" w:rsidRDefault="00C61054" w:rsidP="00C61054">
            <w:pPr>
              <w:tabs>
                <w:tab w:val="left" w:pos="709"/>
              </w:tabs>
              <w:ind w:firstLine="709"/>
              <w:jc w:val="both"/>
            </w:pPr>
            <w:r w:rsidRPr="000B6CFB">
              <w:t xml:space="preserve">Питома вага надходжень в Зведеному бюджеті від підприємств, що займаються торгівлею – 11,1% (сплачено 444,1 млн.грн.), транспортом та зв’язком – 5,9% (сплачено 237,1 млн.грн.), будівництвом – 2,8% (сплачено 110,2 млн.грн.). </w:t>
            </w:r>
          </w:p>
          <w:p w:rsidR="00A156B8" w:rsidRPr="000B6CFB" w:rsidRDefault="00A156B8" w:rsidP="00EF138A">
            <w:pPr>
              <w:tabs>
                <w:tab w:val="left" w:pos="9356"/>
                <w:tab w:val="left" w:pos="9639"/>
              </w:tabs>
              <w:suppressAutoHyphens/>
              <w:ind w:firstLine="709"/>
              <w:jc w:val="both"/>
            </w:pPr>
          </w:p>
        </w:tc>
      </w:tr>
      <w:tr w:rsidR="00A156B8" w:rsidRPr="000B6CFB" w:rsidTr="00EB0632">
        <w:trPr>
          <w:trHeight w:val="2228"/>
        </w:trPr>
        <w:tc>
          <w:tcPr>
            <w:tcW w:w="1702" w:type="dxa"/>
            <w:gridSpan w:val="2"/>
            <w:shd w:val="clear" w:color="auto" w:fill="auto"/>
          </w:tcPr>
          <w:p w:rsidR="00A156B8" w:rsidRPr="000B6CFB" w:rsidRDefault="00A156B8" w:rsidP="00CB796B">
            <w:pPr>
              <w:pStyle w:val="310"/>
              <w:jc w:val="left"/>
              <w:rPr>
                <w:rFonts w:cs="Times New Roman"/>
                <w:b/>
                <w:i/>
                <w:sz w:val="24"/>
              </w:rPr>
            </w:pPr>
            <w:r w:rsidRPr="000B6CFB">
              <w:rPr>
                <w:rFonts w:cs="Times New Roman"/>
                <w:b/>
                <w:i/>
                <w:sz w:val="24"/>
              </w:rPr>
              <w:lastRenderedPageBreak/>
              <w:t>Податкова недоїмка</w:t>
            </w:r>
          </w:p>
          <w:p w:rsidR="00A156B8" w:rsidRPr="000B6CFB" w:rsidRDefault="00A156B8" w:rsidP="00CB796B">
            <w:pPr>
              <w:pStyle w:val="af4"/>
              <w:snapToGrid w:val="0"/>
              <w:rPr>
                <w:rFonts w:ascii="Times New Roman" w:hAnsi="Times New Roman" w:cs="Times New Roman"/>
                <w:b/>
                <w:i/>
                <w:iCs/>
                <w:sz w:val="24"/>
                <w:szCs w:val="24"/>
                <w:lang w:val="uk-UA"/>
              </w:rPr>
            </w:pPr>
          </w:p>
        </w:tc>
        <w:tc>
          <w:tcPr>
            <w:tcW w:w="9072" w:type="dxa"/>
            <w:shd w:val="clear" w:color="auto" w:fill="auto"/>
          </w:tcPr>
          <w:p w:rsidR="00C61054" w:rsidRPr="000B6CFB" w:rsidRDefault="00C61054" w:rsidP="00C61054">
            <w:pPr>
              <w:ind w:firstLine="709"/>
              <w:jc w:val="both"/>
            </w:pPr>
            <w:r w:rsidRPr="000B6CFB">
              <w:t xml:space="preserve">Станом на 01.08.2016 податковий борг до Зведеного бюджету, з урахуванням боргу банкрутів, складає 519,8 млн.грн, з якого 381,3 млн.грн. (73,3%) - борг з платежів до Державного бюджету. </w:t>
            </w:r>
          </w:p>
          <w:p w:rsidR="00C61054" w:rsidRPr="000B6CFB" w:rsidRDefault="00C61054" w:rsidP="00C61054">
            <w:pPr>
              <w:ind w:firstLine="709"/>
              <w:jc w:val="both"/>
            </w:pPr>
            <w:r w:rsidRPr="000B6CFB">
              <w:t>Зокрема, податкова заборгованість по ПДВ складає 242,1 млн.грн., податку на прибуток – 97,3 млн.грн., ПДФО – 78,7 млн.грн., платі за землю – 53,1 млн.грн., акцизному податку – 14,6 млн.грн., інших податках та зборах – 34 млн. гривень.</w:t>
            </w:r>
          </w:p>
          <w:p w:rsidR="00C61054" w:rsidRPr="000B6CFB" w:rsidRDefault="00C61054" w:rsidP="00C61054">
            <w:pPr>
              <w:tabs>
                <w:tab w:val="left" w:pos="9720"/>
              </w:tabs>
              <w:ind w:firstLine="709"/>
              <w:jc w:val="both"/>
            </w:pPr>
            <w:r w:rsidRPr="000B6CFB">
              <w:t>З початку року податкова заборгованість по області скоротилася на 8,8 млн.грн. або на 1,7%. В тому числі податковий борг: по ПДВ – на 8,6 млн.грн., платі за землю – на 12,9 млн.грн., по акцизному податку – на 0,6 млн.грн. та по інших податках на 3,5 млн. гривень. Разом з цим, зріс борг по податку на прибуток - на 14,2 млн.грн., по ПДФО – на 2,6 млн. грн.</w:t>
            </w:r>
          </w:p>
          <w:p w:rsidR="00A156B8" w:rsidRPr="000B6CFB" w:rsidRDefault="00A156B8" w:rsidP="0000432A">
            <w:pPr>
              <w:tabs>
                <w:tab w:val="left" w:pos="540"/>
                <w:tab w:val="left" w:pos="9540"/>
              </w:tabs>
              <w:ind w:firstLine="459"/>
              <w:jc w:val="both"/>
            </w:pPr>
          </w:p>
        </w:tc>
      </w:tr>
      <w:tr w:rsidR="00A156B8" w:rsidRPr="000B6CFB" w:rsidTr="00EB0632">
        <w:trPr>
          <w:trHeight w:val="557"/>
        </w:trPr>
        <w:tc>
          <w:tcPr>
            <w:tcW w:w="1702" w:type="dxa"/>
            <w:gridSpan w:val="2"/>
            <w:shd w:val="clear" w:color="auto" w:fill="auto"/>
          </w:tcPr>
          <w:p w:rsidR="00A156B8" w:rsidRPr="000B6CFB" w:rsidRDefault="00A156B8" w:rsidP="00CB796B">
            <w:pPr>
              <w:snapToGrid w:val="0"/>
              <w:rPr>
                <w:b/>
                <w:i/>
              </w:rPr>
            </w:pPr>
            <w:r w:rsidRPr="000B6CFB">
              <w:rPr>
                <w:b/>
                <w:i/>
              </w:rPr>
              <w:t>Виконання показників бюджету області</w:t>
            </w:r>
          </w:p>
          <w:p w:rsidR="00A156B8" w:rsidRPr="000B6CFB" w:rsidRDefault="00A156B8" w:rsidP="00CB796B">
            <w:pPr>
              <w:pStyle w:val="310"/>
              <w:jc w:val="left"/>
              <w:rPr>
                <w:rFonts w:cs="Times New Roman"/>
                <w:b/>
                <w:i/>
                <w:sz w:val="24"/>
              </w:rPr>
            </w:pPr>
          </w:p>
        </w:tc>
        <w:tc>
          <w:tcPr>
            <w:tcW w:w="9072" w:type="dxa"/>
            <w:shd w:val="clear" w:color="auto" w:fill="auto"/>
          </w:tcPr>
          <w:p w:rsidR="00C61054" w:rsidRPr="000B6CFB" w:rsidRDefault="00C61054" w:rsidP="00C61054">
            <w:pPr>
              <w:ind w:firstLine="709"/>
              <w:jc w:val="both"/>
            </w:pPr>
            <w:r w:rsidRPr="000B6CFB">
              <w:rPr>
                <w:u w:val="single"/>
              </w:rPr>
              <w:t>Відповідно до даних Департаменту фінансів облдержадміністрації</w:t>
            </w:r>
            <w:r w:rsidRPr="000B6CFB">
              <w:t xml:space="preserve">  за 7 місяців 2016 року   до бюджету області  (</w:t>
            </w:r>
            <w:r w:rsidRPr="000B6CFB">
              <w:rPr>
                <w:i/>
              </w:rPr>
              <w:t>загальний і спеціальний фонди</w:t>
            </w:r>
            <w:r w:rsidRPr="000B6CFB">
              <w:t xml:space="preserve">) надійшло доходів без міжбюджетних трансфертів в сумі 2824,0 млн. грн., що становить 67,2% до плану </w:t>
            </w:r>
            <w:r w:rsidRPr="000B6CFB">
              <w:rPr>
                <w:bCs/>
              </w:rPr>
              <w:t>на рік</w:t>
            </w:r>
            <w:r w:rsidRPr="000B6CFB">
              <w:t>, затвердженого місцевими радами з врахуванням змін (заплановано 4203,5 млн.грн.) та 122,7% до планових показників на 7 місяців згідно помісячного розпису (заплановано 2301,6 млн.грн.). Порівняно з відповідним періодом минулого року надходження доходів місцевих бюджетів збільшились на 863,5 млн.грн., або на 44,0%.</w:t>
            </w:r>
          </w:p>
          <w:p w:rsidR="00C61054" w:rsidRPr="000B6CFB" w:rsidRDefault="00C61054" w:rsidP="00C61054">
            <w:pPr>
              <w:ind w:firstLine="709"/>
              <w:jc w:val="both"/>
            </w:pPr>
            <w:r w:rsidRPr="000B6CFB">
              <w:t xml:space="preserve">У т.ч. до </w:t>
            </w:r>
            <w:r w:rsidRPr="000B6CFB">
              <w:rPr>
                <w:bCs/>
              </w:rPr>
              <w:t>загального фонду</w:t>
            </w:r>
            <w:r w:rsidRPr="000B6CFB">
              <w:t xml:space="preserve"> бюджету області надійшло доходів без міжбюджетних трансфертів в сумі 2371,0 млн.грн., що становить 64,5%  плану на рік, затвердженого місцевими радами з врахуванням змін (заплановано 3674,7 млн.грн.) та 115,0% до планових показників на 7 місяців згідно помісячного розпису (заплановано 2061,8 млн.грн.), понад план отримано 309,1 млн.грн. доходів.. </w:t>
            </w:r>
          </w:p>
          <w:p w:rsidR="00C61054" w:rsidRPr="000B6CFB" w:rsidRDefault="00C61054" w:rsidP="00C61054">
            <w:pPr>
              <w:ind w:firstLine="709"/>
              <w:jc w:val="both"/>
            </w:pPr>
            <w:r w:rsidRPr="000B6CFB">
              <w:t xml:space="preserve">Проти відповідного періоду минулого року надходження доходів (без міжбюджетних трансфертів) місцевих бюджетів </w:t>
            </w:r>
            <w:r w:rsidRPr="000B6CFB">
              <w:rPr>
                <w:bCs/>
              </w:rPr>
              <w:t>в абсолютній сумі</w:t>
            </w:r>
            <w:r w:rsidRPr="000B6CFB">
              <w:t xml:space="preserve"> збільшились на 755,7 млн.грн., або на 46,8%, а </w:t>
            </w:r>
            <w:r w:rsidRPr="000B6CFB">
              <w:rPr>
                <w:bCs/>
              </w:rPr>
              <w:t>у порівняних умовах</w:t>
            </w:r>
            <w:r w:rsidRPr="000B6CFB">
              <w:t xml:space="preserve"> – збільшились на 822,0 млн.грн., або на 53,1%.</w:t>
            </w:r>
          </w:p>
          <w:p w:rsidR="00C61054" w:rsidRPr="000B6CFB" w:rsidRDefault="00C61054" w:rsidP="00C61054">
            <w:pPr>
              <w:ind w:firstLine="709"/>
              <w:jc w:val="both"/>
            </w:pPr>
            <w:r w:rsidRPr="000B6CFB">
              <w:rPr>
                <w:bCs/>
              </w:rPr>
              <w:t>Найбільший приріст</w:t>
            </w:r>
            <w:r w:rsidRPr="000B6CFB">
              <w:t xml:space="preserve"> надходжень доходів без міжбюджетних трансфертів </w:t>
            </w:r>
            <w:r w:rsidRPr="000B6CFB">
              <w:rPr>
                <w:bCs/>
              </w:rPr>
              <w:t>у порівняних умовах</w:t>
            </w:r>
            <w:r w:rsidRPr="000B6CFB">
              <w:t xml:space="preserve">  по бюджетах: Гайсинського району – на 92,0%, м.Хмільника – на 70,7%, Калинівській об’єднаній територіальній громаді (ОТГ) – на 67,3%, Могилів-Подільського району – на 66,2%, Хмільницького району – на 66,0%.</w:t>
            </w:r>
          </w:p>
          <w:p w:rsidR="00C61054" w:rsidRPr="000B6CFB" w:rsidRDefault="00C61054" w:rsidP="00C61054">
            <w:pPr>
              <w:ind w:firstLine="709"/>
              <w:jc w:val="both"/>
            </w:pPr>
            <w:r w:rsidRPr="000B6CFB">
              <w:rPr>
                <w:bCs/>
              </w:rPr>
              <w:t>Найменший приріст</w:t>
            </w:r>
            <w:r w:rsidRPr="000B6CFB">
              <w:t xml:space="preserve"> надходжень по бюджетах: Вінницькому району – збільшення на 26,0%, Піщанському – на 27,5%, Оратівському району - збільшення на 39,9%, Студенянській ОТГ - на 41,0%, Тиврівському району - на 41,6%.</w:t>
            </w:r>
          </w:p>
          <w:p w:rsidR="00C61054" w:rsidRPr="000B6CFB" w:rsidRDefault="00C61054" w:rsidP="00C61054">
            <w:pPr>
              <w:tabs>
                <w:tab w:val="left" w:pos="8505"/>
                <w:tab w:val="left" w:pos="9356"/>
              </w:tabs>
              <w:ind w:firstLine="709"/>
              <w:jc w:val="both"/>
            </w:pPr>
            <w:r w:rsidRPr="000B6CFB">
              <w:t xml:space="preserve">Дохідну частину бюджету до плану на 7 місяців виконано по всіх 36-ти бюджетах адміністративно-територіальних одиниць (міст обласного значення, бюджетів районів, об’єднаних територіальних громад та обласного). </w:t>
            </w:r>
          </w:p>
          <w:p w:rsidR="00C61054" w:rsidRPr="000B6CFB" w:rsidRDefault="00C61054" w:rsidP="00C61054">
            <w:pPr>
              <w:ind w:firstLine="709"/>
              <w:jc w:val="both"/>
            </w:pPr>
            <w:r w:rsidRPr="000B6CFB">
              <w:rPr>
                <w:bCs/>
              </w:rPr>
              <w:t>Найбільший рівень</w:t>
            </w:r>
            <w:r w:rsidRPr="000B6CFB">
              <w:t xml:space="preserve"> виконання </w:t>
            </w:r>
            <w:r w:rsidRPr="000B6CFB">
              <w:rPr>
                <w:bCs/>
              </w:rPr>
              <w:t>планів на рік</w:t>
            </w:r>
            <w:r w:rsidRPr="000B6CFB">
              <w:t xml:space="preserve"> по доходах загального фонду (без трансфертів), затверджених місцевими радами, по бюджетах: Вінницькому району – 84,0% плану на рік (при розрахунковій нормі на 7 місяців 58,3%), Могилів-Подільському району – 81,2%, Погребищенському району – 78,3%, м.Хмільнику – 77,9%, Немирівському району – 72,6%. </w:t>
            </w:r>
          </w:p>
          <w:p w:rsidR="00C61054" w:rsidRPr="000B6CFB" w:rsidRDefault="00C61054" w:rsidP="00C61054">
            <w:pPr>
              <w:ind w:firstLine="709"/>
              <w:jc w:val="both"/>
            </w:pPr>
            <w:r w:rsidRPr="000B6CFB">
              <w:rPr>
                <w:bCs/>
              </w:rPr>
              <w:t>Найменший рівень</w:t>
            </w:r>
            <w:r w:rsidRPr="000B6CFB">
              <w:t xml:space="preserve"> виконання бюджетів по: обласному бюджету – 55,5% плану на рік, Томашпільському району – 57,3%, Піщанському району  – 57,7% плану на рык, м.Могилів-Подільському – 58,9%, м.Ладижину  – 59,1%.</w:t>
            </w:r>
          </w:p>
          <w:p w:rsidR="00C61054" w:rsidRPr="000B6CFB" w:rsidRDefault="00C61054" w:rsidP="00C61054">
            <w:pPr>
              <w:ind w:firstLine="709"/>
              <w:jc w:val="both"/>
            </w:pPr>
            <w:r w:rsidRPr="000B6CFB">
              <w:t>З 697 сільських, селищних, міських (міст районного значення) рад виконали свої бюджети по доходах (без трансфертів) по планах на 6 місяців 2016 року 694 ради, або 99,6% загальної кількості. Не виконано лише 3 бюджети. Разом з тим, на сьогодні по 38-ми бюджетах виконано вже річні бюджетні призначення по доходах, а ще по 184-х бюджетах – виконання становить більше 75% плану на рік.</w:t>
            </w:r>
          </w:p>
          <w:p w:rsidR="00C61054" w:rsidRPr="000B6CFB" w:rsidRDefault="00C61054" w:rsidP="00C61054">
            <w:pPr>
              <w:ind w:firstLine="709"/>
              <w:jc w:val="both"/>
            </w:pPr>
            <w:r w:rsidRPr="000B6CFB">
              <w:t xml:space="preserve"> Забезпечено виконання всіх бюджетів у 24 районах, не забезпечено – у 3-х районах  – Літинському, Оратівському та Теплицькому, у яких не виконано по 1 бюджету.</w:t>
            </w:r>
          </w:p>
          <w:p w:rsidR="00C61054" w:rsidRPr="000B6CFB" w:rsidRDefault="00C61054" w:rsidP="00C61054">
            <w:pPr>
              <w:ind w:firstLine="709"/>
              <w:jc w:val="both"/>
              <w:rPr>
                <w:rFonts w:eastAsia="MS Mincho"/>
              </w:rPr>
            </w:pPr>
            <w:r w:rsidRPr="000B6CFB">
              <w:rPr>
                <w:rFonts w:eastAsia="MS Mincho"/>
              </w:rPr>
              <w:t>Крім власних надходжень податків і зборів до загального фонду бюджету об</w:t>
            </w:r>
            <w:r w:rsidRPr="000B6CFB">
              <w:rPr>
                <w:rFonts w:eastAsia="MS Mincho"/>
              </w:rPr>
              <w:lastRenderedPageBreak/>
              <w:t>ласті отримано також 165,4 млн.грн. дотацій, або 100,0% плану на 7 місяців,  та 4339,7 млн.грн. субвенцій з державного бюджету, або 97,4% до плану на 7 місяців (недоотримано 117,7 млн.грн. субвенцій, у т.ч. 109,1 млн.грн. субвенцій на надання пільг та житлових субсидій населенню). Проти аналогічного періоду 2015 року  надходження дотацій та субвенцій з Державного бюджету збільшилось на 665,3 млн.грн., або на 17,3%.</w:t>
            </w:r>
          </w:p>
          <w:p w:rsidR="00C61054" w:rsidRPr="000B6CFB" w:rsidRDefault="00C61054" w:rsidP="00C61054">
            <w:pPr>
              <w:tabs>
                <w:tab w:val="left" w:pos="8505"/>
                <w:tab w:val="left" w:pos="9356"/>
              </w:tabs>
              <w:ind w:firstLine="709"/>
              <w:jc w:val="both"/>
            </w:pPr>
            <w:r w:rsidRPr="000B6CFB">
              <w:rPr>
                <w:rFonts w:eastAsia="MS Mincho"/>
              </w:rPr>
              <w:t xml:space="preserve">З врахуванням всіх міжбюджетних трансфертів (субвенцій, дотацій) з державного бюджету бюджет області по доходах загального фонду отримав 6876,1 млн.грн., або 60,4% до уточненого плану на рік (план 11376,8 млн.грн.) та 102,9% до уточненого плану на 7 місяців (план 6684,6 млн.грн.),  </w:t>
            </w:r>
            <w:r w:rsidRPr="000B6CFB">
              <w:t>і проти аналогічного періоду минулого року збільшились на 1421,0 млн.грн., або на 26,0%.</w:t>
            </w:r>
          </w:p>
          <w:p w:rsidR="00C61054" w:rsidRPr="000B6CFB" w:rsidRDefault="00C61054" w:rsidP="00C61054">
            <w:pPr>
              <w:ind w:firstLine="709"/>
              <w:jc w:val="both"/>
            </w:pPr>
            <w:r w:rsidRPr="000B6CFB">
              <w:rPr>
                <w:bCs/>
              </w:rPr>
              <w:t>За 7 місяців поточного року</w:t>
            </w:r>
            <w:r w:rsidRPr="000B6CFB">
              <w:t xml:space="preserve"> по зведеному бюджету області (</w:t>
            </w:r>
            <w:r w:rsidRPr="000B6CFB">
              <w:rPr>
                <w:i/>
              </w:rPr>
              <w:t>загальний і спеціальний фонди</w:t>
            </w:r>
            <w:r w:rsidRPr="000B6CFB">
              <w:t xml:space="preserve">) проведено </w:t>
            </w:r>
            <w:r w:rsidRPr="000B6CFB">
              <w:rPr>
                <w:bCs/>
              </w:rPr>
              <w:t xml:space="preserve">видатків </w:t>
            </w:r>
            <w:r w:rsidRPr="000B6CFB">
              <w:t xml:space="preserve">в сумі 6911,6 млн.грн., що становить 55,8% плану на рік з врахуванням змін (заплановано 12393,5 млн.грн.), та 92,6% до планових показників на 7 місяців  (заплановано 7461,7 млн.грн.),  і збільшились проти аналогічного періоду минулого року на 1384,8 млн.грн., або на 25,1%. З них,  проведено </w:t>
            </w:r>
            <w:r w:rsidRPr="000B6CFB">
              <w:rPr>
                <w:bCs/>
              </w:rPr>
              <w:t>видатків розвитку</w:t>
            </w:r>
            <w:r w:rsidRPr="000B6CFB">
              <w:t xml:space="preserve"> в сумі 549,8 млн грн., що становить 44,6% плану на рік з врахуванням змін (заплановано 1232,0 млн.грн.) та 69,1% до планових показників на 7 місяців (заплановано 796,1 млн.грн.), що більше проти 7 місяців минулого року на 168,1 млн.грн., або на 44,0%. </w:t>
            </w:r>
          </w:p>
          <w:p w:rsidR="00C61054" w:rsidRPr="000B6CFB" w:rsidRDefault="00C61054" w:rsidP="00C61054">
            <w:pPr>
              <w:ind w:firstLine="709"/>
              <w:jc w:val="both"/>
            </w:pPr>
            <w:r w:rsidRPr="000B6CFB">
              <w:t>За січень-липень 2016 рокупроведено</w:t>
            </w:r>
            <w:r w:rsidRPr="000B6CFB">
              <w:rPr>
                <w:bCs/>
              </w:rPr>
              <w:t xml:space="preserve"> 6076,6 </w:t>
            </w:r>
            <w:r w:rsidRPr="000B6CFB">
              <w:t>млн.грн.</w:t>
            </w:r>
            <w:r w:rsidRPr="000B6CFB">
              <w:rPr>
                <w:bCs/>
              </w:rPr>
              <w:t>видатківзагального фонду</w:t>
            </w:r>
            <w:r w:rsidRPr="000B6CFB">
              <w:t xml:space="preserve">, що становить 56,3% плану на рік, затвердженого місцевими радами з врахуванням змін (заплановано 10794,2 млн.грн.), та 91,9% до планових показників на 7 місяців згідно помісячного розпису (заплановано 6610,4 млн.грн.), і проти аналогічного періоду 2015 року збільшились на  1190,8 млн.грн., або на 24,4%. </w:t>
            </w:r>
          </w:p>
          <w:p w:rsidR="00C61054" w:rsidRPr="000B6CFB" w:rsidRDefault="00C61054" w:rsidP="00C61054">
            <w:pPr>
              <w:ind w:firstLine="709"/>
              <w:jc w:val="both"/>
              <w:rPr>
                <w:rFonts w:eastAsia="MS Mincho"/>
              </w:rPr>
            </w:pPr>
            <w:r w:rsidRPr="000B6CFB">
              <w:rPr>
                <w:rFonts w:eastAsia="MS Mincho"/>
              </w:rPr>
              <w:t>В першу чергу кошти бюджету спрямовувались на фінансування соціально-культурної сфери:</w:t>
            </w:r>
            <w:r w:rsidRPr="000B6CFB">
              <w:t xml:space="preserve"> за 7 місяців 2016 року на зазначені цілі використано 5428,8 млн.грн. - це 89,3% усіх видатків загального фонду, у тому числі</w:t>
            </w:r>
            <w:r w:rsidRPr="000B6CFB">
              <w:rPr>
                <w:rFonts w:eastAsia="MS Mincho"/>
              </w:rPr>
              <w:t xml:space="preserve"> на освіту використано 1875,9 млн.грн. (проти аналогічного періоду минулого року збільшення на 151,1 млн.грн., або на 8,8%), на охорону здоров’я – 1063,0 млн.грн. (збільшення проти 7 місяців 2015 року на 46,1 млн.грн., або на 4,5%), на </w:t>
            </w:r>
            <w:r w:rsidRPr="000B6CFB">
              <w:t xml:space="preserve">соціальний захист та соціальне забезпечення – 2239,9 млн.грн. (збільшилися на 818,7 млн.грн., або на 57,6%), </w:t>
            </w:r>
            <w:r w:rsidRPr="000B6CFB">
              <w:rPr>
                <w:rFonts w:eastAsia="MS Mincho"/>
              </w:rPr>
              <w:t>на культуру – 193,9 млн.грн. (збільшення на 19,4 млн.грн., або на 11,1%).</w:t>
            </w:r>
          </w:p>
          <w:p w:rsidR="00C61054" w:rsidRPr="000B6CFB" w:rsidRDefault="00C61054" w:rsidP="00C61054">
            <w:pPr>
              <w:ind w:firstLine="709"/>
              <w:jc w:val="both"/>
            </w:pPr>
            <w:r w:rsidRPr="000B6CFB">
              <w:t xml:space="preserve">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 </w:t>
            </w:r>
          </w:p>
          <w:p w:rsidR="00C61054" w:rsidRPr="000B6CFB" w:rsidRDefault="00C61054" w:rsidP="00C61054">
            <w:pPr>
              <w:ind w:firstLine="709"/>
              <w:jc w:val="both"/>
            </w:pPr>
            <w:r w:rsidRPr="000B6CFB">
              <w:t xml:space="preserve">За попередніми даними </w:t>
            </w:r>
            <w:r w:rsidRPr="000B6CFB">
              <w:rPr>
                <w:bCs/>
              </w:rPr>
              <w:t xml:space="preserve">прострочена кредиторська заборгованість </w:t>
            </w:r>
            <w:r w:rsidRPr="000B6CFB">
              <w:t xml:space="preserve">із зазначених виплат </w:t>
            </w:r>
            <w:r w:rsidRPr="000B6CFB">
              <w:rPr>
                <w:bCs/>
              </w:rPr>
              <w:t>відсутня.</w:t>
            </w:r>
          </w:p>
          <w:p w:rsidR="00442996" w:rsidRPr="000B6CFB" w:rsidRDefault="00442996" w:rsidP="0000432A">
            <w:pPr>
              <w:ind w:firstLine="459"/>
              <w:jc w:val="both"/>
              <w:rPr>
                <w:rFonts w:eastAsia="MS Mincho"/>
              </w:rPr>
            </w:pPr>
          </w:p>
        </w:tc>
      </w:tr>
      <w:tr w:rsidR="00A156B8" w:rsidRPr="000B6CFB" w:rsidTr="00EB0632">
        <w:trPr>
          <w:trHeight w:val="284"/>
        </w:trPr>
        <w:tc>
          <w:tcPr>
            <w:tcW w:w="1702" w:type="dxa"/>
            <w:gridSpan w:val="2"/>
            <w:shd w:val="clear" w:color="auto" w:fill="auto"/>
          </w:tcPr>
          <w:p w:rsidR="00A156B8" w:rsidRPr="000B6CFB" w:rsidRDefault="00A156B8" w:rsidP="00CB796B">
            <w:pPr>
              <w:pStyle w:val="32"/>
              <w:snapToGrid w:val="0"/>
              <w:spacing w:after="0"/>
              <w:rPr>
                <w:b/>
                <w:i/>
                <w:sz w:val="24"/>
                <w:szCs w:val="24"/>
              </w:rPr>
            </w:pPr>
            <w:r w:rsidRPr="000B6CFB">
              <w:rPr>
                <w:b/>
                <w:i/>
                <w:sz w:val="24"/>
                <w:szCs w:val="24"/>
              </w:rPr>
              <w:lastRenderedPageBreak/>
              <w:t>Стан адміністрування єдиного внеску на обов’язкове державне соціальне страхування</w:t>
            </w:r>
          </w:p>
        </w:tc>
        <w:tc>
          <w:tcPr>
            <w:tcW w:w="9072" w:type="dxa"/>
            <w:shd w:val="clear" w:color="auto" w:fill="auto"/>
          </w:tcPr>
          <w:p w:rsidR="00C61054" w:rsidRPr="000B6CFB" w:rsidRDefault="00C61054" w:rsidP="00C61054">
            <w:pPr>
              <w:ind w:firstLine="709"/>
              <w:jc w:val="both"/>
            </w:pPr>
            <w:r w:rsidRPr="000B6CFB">
              <w:rPr>
                <w:u w:val="single"/>
              </w:rPr>
              <w:t>Відповідно до даних Головного управління ДФС у Вінницькій області</w:t>
            </w:r>
            <w:r w:rsidRPr="000B6CFB">
              <w:t xml:space="preserve"> протягом січня-липня 2016 року надійшло 1787,6 млн.грн. єдиного соціального внеску, що на 1066,1 млн.грн. (37,4%) менше від надходжень січня-липня 2015 року.   </w:t>
            </w:r>
          </w:p>
          <w:p w:rsidR="00C61054" w:rsidRPr="000B6CFB" w:rsidRDefault="00C61054" w:rsidP="00C61054">
            <w:pPr>
              <w:ind w:firstLine="709"/>
              <w:jc w:val="both"/>
            </w:pPr>
            <w:r w:rsidRPr="000B6CFB">
              <w:t xml:space="preserve">Зменшення збору єдиного внеску пов’язано зі: зниженням ставки оподаткування (з 41% до 22%), переходом на податковий облік до спеціалізованих податкових органів 26 ВПП (середньомісячні втрати - 29,3 млн.грн.),проведенням реорганізаціїПівденно-Західної залізниці, внаслідок якої сплата єдиного внеску по окремих відокремлених структурних підрозділах здійснюється за місцем реєстрації головного підприємства (середньомісячні втрати – 24,1 млн.грн.). </w:t>
            </w:r>
          </w:p>
          <w:p w:rsidR="00C61054" w:rsidRPr="000B6CFB" w:rsidRDefault="00C61054" w:rsidP="00C61054">
            <w:pPr>
              <w:ind w:firstLine="709"/>
              <w:jc w:val="both"/>
            </w:pPr>
            <w:r w:rsidRPr="000B6CFB">
              <w:t xml:space="preserve">Негативний вплив на надходження єдиного внеску має і зниження кількості платників - на 01.08.2016 на обліку в області перебуває </w:t>
            </w:r>
            <w:r w:rsidRPr="000B6CFB">
              <w:rPr>
                <w:lang w:val="ru-RU"/>
              </w:rPr>
              <w:t xml:space="preserve">115 412 </w:t>
            </w:r>
            <w:r w:rsidRPr="000B6CFB">
              <w:t xml:space="preserve">платників єдиного внеску (юридичні особи – 29 821, фізичні – 85 591). В порівнянні з 01.01.2016 року їх кількість зменшилась на 166 або на 0,2% (на 01.01.2016 на обліку знаходилось 115578 платників (юридичних осіб – 29785, фізичних – 85793). </w:t>
            </w:r>
          </w:p>
          <w:p w:rsidR="00C61054" w:rsidRPr="000B6CFB" w:rsidRDefault="00C61054" w:rsidP="00C61054">
            <w:pPr>
              <w:tabs>
                <w:tab w:val="left" w:pos="9720"/>
              </w:tabs>
              <w:ind w:firstLine="709"/>
              <w:jc w:val="both"/>
            </w:pPr>
            <w:r w:rsidRPr="000B6CFB">
              <w:t xml:space="preserve">Борг по єдиному соціальному внеску на 01.08.2016 становить 93,1 млн.грн., в </w:t>
            </w:r>
            <w:r w:rsidRPr="000B6CFB">
              <w:lastRenderedPageBreak/>
              <w:t xml:space="preserve">т.ч. по юридичних особах – 57,9 млн.грн., фізичних – 35,2 млн. гривень. З початку року борг по ЄВ зріс  на 5,5 млн. грн. або на  6,2%. </w:t>
            </w:r>
          </w:p>
          <w:p w:rsidR="00A156B8" w:rsidRPr="000B6CFB" w:rsidRDefault="00A156B8" w:rsidP="0000432A">
            <w:pPr>
              <w:suppressAutoHyphens/>
              <w:ind w:firstLine="459"/>
              <w:jc w:val="both"/>
              <w:rPr>
                <w:b/>
              </w:rPr>
            </w:pPr>
          </w:p>
        </w:tc>
      </w:tr>
      <w:tr w:rsidR="00A156B8" w:rsidRPr="000B6CFB" w:rsidTr="00EB0632">
        <w:trPr>
          <w:trHeight w:val="284"/>
        </w:trPr>
        <w:tc>
          <w:tcPr>
            <w:tcW w:w="1702" w:type="dxa"/>
            <w:gridSpan w:val="2"/>
            <w:shd w:val="clear" w:color="auto" w:fill="FFFFFF" w:themeFill="background1"/>
          </w:tcPr>
          <w:p w:rsidR="00A156B8" w:rsidRPr="000B6CFB" w:rsidRDefault="00A156B8" w:rsidP="00CB796B">
            <w:pPr>
              <w:pStyle w:val="32"/>
              <w:snapToGrid w:val="0"/>
              <w:spacing w:after="0"/>
              <w:rPr>
                <w:b/>
                <w:i/>
                <w:sz w:val="24"/>
                <w:szCs w:val="24"/>
              </w:rPr>
            </w:pPr>
            <w:r w:rsidRPr="000B6CFB">
              <w:rPr>
                <w:b/>
                <w:i/>
                <w:sz w:val="24"/>
                <w:szCs w:val="24"/>
              </w:rPr>
              <w:lastRenderedPageBreak/>
              <w:t>Виконання основних показників діяльності Пенсійного фонду України у Вінницькій області</w:t>
            </w:r>
          </w:p>
        </w:tc>
        <w:tc>
          <w:tcPr>
            <w:tcW w:w="9072" w:type="dxa"/>
            <w:shd w:val="clear" w:color="auto" w:fill="FFFFFF" w:themeFill="background1"/>
          </w:tcPr>
          <w:p w:rsidR="00C61054" w:rsidRPr="000B6CFB" w:rsidRDefault="00C61054" w:rsidP="00C61054">
            <w:pPr>
              <w:suppressAutoHyphens/>
              <w:ind w:firstLine="709"/>
              <w:jc w:val="both"/>
            </w:pPr>
            <w:r w:rsidRPr="000B6CFB">
              <w:t xml:space="preserve">Згідно із  даними </w:t>
            </w:r>
            <w:r w:rsidRPr="000B6CFB">
              <w:rPr>
                <w:u w:val="single"/>
              </w:rPr>
              <w:t xml:space="preserve">Головного управління Пенсійного фонду України у Вінницькій області </w:t>
            </w:r>
            <w:r w:rsidRPr="000B6CFB">
              <w:t xml:space="preserve">в області </w:t>
            </w:r>
            <w:r w:rsidRPr="000B6CFB">
              <w:rPr>
                <w:bCs/>
              </w:rPr>
              <w:t>забезпечено стабільну виплату всіх пенсійних зобов’язань</w:t>
            </w:r>
            <w:r w:rsidRPr="000B6CFB">
              <w:t xml:space="preserve">, а також докладається максимум зусиль для швидкого й повного перерахунку пенсійних виплат у зв’язку із змінами в законодавстві. </w:t>
            </w:r>
          </w:p>
          <w:p w:rsidR="00C61054" w:rsidRPr="000B6CFB" w:rsidRDefault="00C61054" w:rsidP="00C61054">
            <w:pPr>
              <w:suppressAutoHyphens/>
              <w:ind w:firstLine="709"/>
              <w:jc w:val="both"/>
            </w:pPr>
            <w:r w:rsidRPr="000B6CFB">
              <w:t xml:space="preserve">За січень-липень 2016 року до бюджету Пенсійного фонду України у Вінницькій області, з усіх джерел фінансування, за оперативними даними, надходження склали 5 435,1 млн. грн. (в т.ч. за даними Міністерства доходів і зборів сума ЄСВ – 1 469,1 млн. грн.) і в порівнянні з січнем-липнем 2015 року збільшились на 6,7% або на 343,6 млн. грн. </w:t>
            </w:r>
          </w:p>
          <w:p w:rsidR="00C61054" w:rsidRPr="000B6CFB" w:rsidRDefault="00C61054" w:rsidP="00C61054">
            <w:pPr>
              <w:suppressAutoHyphens/>
              <w:ind w:firstLine="709"/>
              <w:jc w:val="both"/>
              <w:rPr>
                <w:shd w:val="clear" w:color="auto" w:fill="FFFFFF"/>
              </w:rPr>
            </w:pPr>
            <w:r w:rsidRPr="000B6CFB">
              <w:t>У частині фінансування виплати пенсій Вінниччина залишається дотаційним регіоном. Станом на 01.08.2016 року забезпеченість власними коштами на виплату пенсій складає 27,4% і в порівнянні з відповідним періодом минулого року зменшилась на 23,7 відсоткових пункти</w:t>
            </w:r>
            <w:r w:rsidRPr="000B6CFB">
              <w:rPr>
                <w:shd w:val="clear" w:color="auto" w:fill="FFFFFF"/>
              </w:rPr>
              <w:t xml:space="preserve">. </w:t>
            </w:r>
          </w:p>
          <w:p w:rsidR="00C61054" w:rsidRPr="000B6CFB" w:rsidRDefault="00C61054" w:rsidP="00C61054">
            <w:pPr>
              <w:suppressAutoHyphens/>
              <w:ind w:firstLine="709"/>
              <w:jc w:val="both"/>
              <w:rPr>
                <w:b/>
              </w:rPr>
            </w:pPr>
            <w:r w:rsidRPr="000B6CFB">
              <w:t xml:space="preserve">Фактичні видатки на виплату пенсій та грошової допомоги у Вінницькій області за січень - липень 2016 року, склали 5 380,4 млн. грн., що майже на 7,9%, або на 391,8 млн. грн. більше, ніж у відповідному періоді минулого року. </w:t>
            </w:r>
          </w:p>
          <w:p w:rsidR="00C61054" w:rsidRPr="000B6CFB" w:rsidRDefault="00C61054" w:rsidP="00C61054">
            <w:pPr>
              <w:suppressAutoHyphens/>
              <w:ind w:firstLine="709"/>
              <w:jc w:val="both"/>
            </w:pPr>
            <w:r w:rsidRPr="000B6CFB">
              <w:t>Станом на 01.07.2016 в області фактично отримують пенсії 4</w:t>
            </w:r>
            <w:r w:rsidRPr="000B6CFB">
              <w:rPr>
                <w:lang w:val="ru-RU"/>
              </w:rPr>
              <w:t>67732</w:t>
            </w:r>
            <w:r w:rsidRPr="000B6CFB">
              <w:t xml:space="preserve"> особи. Середньомісячний розмір пенсії складає 1506 грн. 57 коп. і зріс, у порівнянні з 01.07.15 року на 11,1% (становив 1355 грн. 94 коп.).</w:t>
            </w:r>
          </w:p>
          <w:p w:rsidR="00C61054" w:rsidRPr="000B6CFB" w:rsidRDefault="00C61054" w:rsidP="00C61054">
            <w:pPr>
              <w:suppressAutoHyphens/>
              <w:ind w:firstLine="709"/>
              <w:jc w:val="both"/>
            </w:pPr>
            <w:r w:rsidRPr="000B6CFB">
              <w:t xml:space="preserve">Крім того, станом на </w:t>
            </w:r>
            <w:r w:rsidRPr="000B6CFB">
              <w:rPr>
                <w:bCs/>
              </w:rPr>
              <w:t xml:space="preserve">01.07.2016 </w:t>
            </w:r>
            <w:r w:rsidRPr="000B6CFB">
              <w:t xml:space="preserve">року в області отримують пенсії </w:t>
            </w:r>
            <w:r w:rsidRPr="000B6CFB">
              <w:rPr>
                <w:bCs/>
              </w:rPr>
              <w:t xml:space="preserve">21270 </w:t>
            </w:r>
            <w:r w:rsidRPr="000B6CFB">
              <w:t>військовослужбовці.</w:t>
            </w:r>
          </w:p>
          <w:p w:rsidR="00A156B8" w:rsidRPr="000B6CFB" w:rsidRDefault="00C61054" w:rsidP="00C61054">
            <w:pPr>
              <w:suppressAutoHyphens/>
              <w:ind w:firstLine="709"/>
              <w:jc w:val="both"/>
              <w:rPr>
                <w:rStyle w:val="aff6"/>
                <w:bCs/>
                <w:i w:val="0"/>
                <w:iCs w:val="0"/>
              </w:rPr>
            </w:pPr>
            <w:r w:rsidRPr="000B6CFB">
              <w:t xml:space="preserve">На 01.07.2016 року середній розмір пенсії військовослужбовця складав </w:t>
            </w:r>
            <w:r w:rsidRPr="000B6CFB">
              <w:rPr>
                <w:bCs/>
              </w:rPr>
              <w:t>2552 грн. 44</w:t>
            </w:r>
            <w:r w:rsidRPr="000B6CFB">
              <w:t xml:space="preserve"> коп. і зріс, у порівнянні з його рівнем станом на </w:t>
            </w:r>
            <w:r w:rsidRPr="000B6CFB">
              <w:rPr>
                <w:bCs/>
              </w:rPr>
              <w:t>01.07.2015</w:t>
            </w:r>
            <w:r w:rsidRPr="000B6CFB">
              <w:t xml:space="preserve"> року </w:t>
            </w:r>
            <w:r w:rsidRPr="000B6CFB">
              <w:rPr>
                <w:bCs/>
              </w:rPr>
              <w:t>(2464 грн..) на 3,6%, або на 88 грн.44 коп.</w:t>
            </w:r>
          </w:p>
        </w:tc>
      </w:tr>
      <w:tr w:rsidR="00A156B8" w:rsidRPr="000B6CFB" w:rsidTr="00EB0632">
        <w:trPr>
          <w:trHeight w:val="430"/>
        </w:trPr>
        <w:tc>
          <w:tcPr>
            <w:tcW w:w="1702" w:type="dxa"/>
            <w:gridSpan w:val="2"/>
            <w:tcBorders>
              <w:bottom w:val="single" w:sz="4" w:space="0" w:color="auto"/>
            </w:tcBorders>
            <w:shd w:val="clear" w:color="auto" w:fill="auto"/>
          </w:tcPr>
          <w:p w:rsidR="00A156B8" w:rsidRPr="000B6CFB" w:rsidRDefault="00A156B8" w:rsidP="00CB796B">
            <w:pPr>
              <w:snapToGrid w:val="0"/>
              <w:rPr>
                <w:b/>
                <w:i/>
              </w:rPr>
            </w:pPr>
            <w:r w:rsidRPr="000B6CFB">
              <w:rPr>
                <w:b/>
                <w:i/>
              </w:rPr>
              <w:t>Заборгованість до Пенсійного фонду України</w:t>
            </w:r>
          </w:p>
        </w:tc>
        <w:tc>
          <w:tcPr>
            <w:tcW w:w="9072" w:type="dxa"/>
            <w:tcBorders>
              <w:bottom w:val="single" w:sz="4" w:space="0" w:color="auto"/>
            </w:tcBorders>
            <w:shd w:val="clear" w:color="auto" w:fill="auto"/>
          </w:tcPr>
          <w:p w:rsidR="00C61054" w:rsidRPr="000B6CFB" w:rsidRDefault="00C61054" w:rsidP="00C61054">
            <w:pPr>
              <w:spacing w:line="252" w:lineRule="auto"/>
              <w:ind w:firstLine="709"/>
              <w:jc w:val="both"/>
            </w:pPr>
            <w:r w:rsidRPr="000B6CFB">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01.08.2016 року в порівнянні із 01.01.2016 року скоротилася на 3762,0 тис. грн. або 7,1% та складає 49278,1 тис. грн., з них: борг зі сплати страхових внесках – 27962,9 тис. грн., борг з відшкодування пільгових, наукових пенсіях та регресних вимогах – 21315,2 тис. грн.</w:t>
            </w:r>
          </w:p>
          <w:p w:rsidR="00C61054" w:rsidRPr="000B6CFB" w:rsidRDefault="00C61054" w:rsidP="00C61054">
            <w:pPr>
              <w:spacing w:line="252" w:lineRule="auto"/>
              <w:ind w:firstLine="708"/>
              <w:jc w:val="both"/>
            </w:pPr>
            <w:r w:rsidRPr="000B6CFB">
              <w:t xml:space="preserve">Протягом 7 місяців 2016 року відбулося скорочення заборгованості до бюджету Фонду по страхових внесках на суму 3385,7 тис.грн. </w:t>
            </w:r>
          </w:p>
          <w:p w:rsidR="0026256E" w:rsidRPr="000B6CFB" w:rsidRDefault="00C61054" w:rsidP="00C61054">
            <w:pPr>
              <w:suppressAutoHyphens/>
              <w:ind w:firstLine="709"/>
              <w:jc w:val="both"/>
            </w:pPr>
            <w:r w:rsidRPr="000B6CFB">
              <w:t>Заборгованість з відшкодування витрат на виплату та доставку пільгових пенсій з початку 2016 року скоротилася на 349,4 тис. грн. або 1,6% та станом на 01.08.2016 року становить 21194,8 тис. грн. Найбільше скорочення боргу по пільгових пенсіях відбулося по наступних</w:t>
            </w:r>
            <w:r w:rsidRPr="000B6CFB">
              <w:rPr>
                <w:lang w:val="ru-RU"/>
              </w:rPr>
              <w:t>.</w:t>
            </w:r>
          </w:p>
        </w:tc>
      </w:tr>
      <w:tr w:rsidR="00BA11DE" w:rsidRPr="000B6CFB" w:rsidTr="00EB0632">
        <w:trPr>
          <w:trHeight w:val="210"/>
        </w:trPr>
        <w:tc>
          <w:tcPr>
            <w:tcW w:w="10774" w:type="dxa"/>
            <w:gridSpan w:val="3"/>
            <w:tcBorders>
              <w:left w:val="nil"/>
              <w:right w:val="nil"/>
            </w:tcBorders>
            <w:shd w:val="clear" w:color="auto" w:fill="auto"/>
          </w:tcPr>
          <w:p w:rsidR="00BA11DE" w:rsidRPr="000B6CFB" w:rsidRDefault="00BA11DE" w:rsidP="00CB796B">
            <w:pPr>
              <w:pStyle w:val="310"/>
              <w:tabs>
                <w:tab w:val="left" w:pos="3960"/>
                <w:tab w:val="left" w:pos="4005"/>
                <w:tab w:val="center" w:pos="5218"/>
              </w:tabs>
              <w:snapToGrid w:val="0"/>
              <w:ind w:firstLine="459"/>
              <w:jc w:val="left"/>
              <w:rPr>
                <w:rFonts w:cs="Times New Roman"/>
                <w:b/>
                <w:sz w:val="24"/>
              </w:rPr>
            </w:pPr>
          </w:p>
          <w:p w:rsidR="00BA11DE" w:rsidRPr="000B6CFB" w:rsidRDefault="00BA11DE" w:rsidP="00CB796B">
            <w:pPr>
              <w:pStyle w:val="310"/>
              <w:snapToGrid w:val="0"/>
              <w:ind w:firstLine="459"/>
              <w:jc w:val="center"/>
              <w:rPr>
                <w:rFonts w:cs="Times New Roman"/>
                <w:b/>
                <w:sz w:val="24"/>
                <w:lang w:val="en-US"/>
              </w:rPr>
            </w:pPr>
            <w:r w:rsidRPr="000B6CFB">
              <w:rPr>
                <w:rFonts w:cs="Times New Roman"/>
                <w:b/>
                <w:sz w:val="24"/>
              </w:rPr>
              <w:t>ЗАРОБІТНА ПЛАТА</w:t>
            </w:r>
          </w:p>
        </w:tc>
      </w:tr>
      <w:tr w:rsidR="00A156B8" w:rsidRPr="000B6CFB" w:rsidTr="00EB0632">
        <w:trPr>
          <w:trHeight w:val="78"/>
        </w:trPr>
        <w:tc>
          <w:tcPr>
            <w:tcW w:w="1702" w:type="dxa"/>
            <w:gridSpan w:val="2"/>
            <w:shd w:val="clear" w:color="auto" w:fill="auto"/>
          </w:tcPr>
          <w:p w:rsidR="00A156B8" w:rsidRPr="000B6CFB" w:rsidRDefault="00A156B8" w:rsidP="00CB796B">
            <w:pPr>
              <w:pStyle w:val="310"/>
              <w:snapToGrid w:val="0"/>
              <w:jc w:val="left"/>
              <w:rPr>
                <w:rFonts w:cs="Times New Roman"/>
                <w:b/>
                <w:i/>
                <w:sz w:val="24"/>
              </w:rPr>
            </w:pPr>
            <w:r w:rsidRPr="000B6CFB">
              <w:rPr>
                <w:rFonts w:cs="Times New Roman"/>
                <w:b/>
                <w:i/>
                <w:sz w:val="24"/>
              </w:rPr>
              <w:t>Рівень середньомісячної заробітної плати</w:t>
            </w:r>
          </w:p>
        </w:tc>
        <w:tc>
          <w:tcPr>
            <w:tcW w:w="9072" w:type="dxa"/>
            <w:shd w:val="clear" w:color="auto" w:fill="auto"/>
          </w:tcPr>
          <w:p w:rsidR="0014277B" w:rsidRPr="00B813DE" w:rsidRDefault="0014277B" w:rsidP="0014277B">
            <w:pPr>
              <w:pStyle w:val="310"/>
              <w:snapToGrid w:val="0"/>
              <w:ind w:firstLine="705"/>
              <w:rPr>
                <w:sz w:val="24"/>
              </w:rPr>
            </w:pPr>
            <w:r w:rsidRPr="00B813DE">
              <w:rPr>
                <w:sz w:val="24"/>
              </w:rPr>
              <w:t>У 2016 році продовжується позитивна тенденція щодо зростання  темпів приросту заробітної плати як у області, так і по Україні в цілому. Водночас, у Вінницькій області ріст рівня заробітної плати випереджає середньоукраїнський (як номінальної середньомісячної заробітної плати, так і реальної, скоригованої на індекс споживчих цін).</w:t>
            </w:r>
          </w:p>
          <w:p w:rsidR="0014277B" w:rsidRPr="00B813DE" w:rsidRDefault="0014277B" w:rsidP="0014277B">
            <w:pPr>
              <w:ind w:firstLine="709"/>
              <w:jc w:val="both"/>
            </w:pPr>
            <w:r w:rsidRPr="00B813DE">
              <w:t xml:space="preserve">Відповідно до даних Головного управління статистики у Вінницькій області приріст середньомісячної заробітної плати за січень-липень 2016 року складає 24,7% (ріст на 8,2 відсоткові пункти), тоді як у відповідному періоді 2015 року він становив 16,5%. По Україні відповідно приріст складає – 24,6%, і зріс на 7,9 в.п. </w:t>
            </w:r>
          </w:p>
          <w:p w:rsidR="0014277B" w:rsidRPr="00B813DE" w:rsidRDefault="0014277B" w:rsidP="0014277B">
            <w:pPr>
              <w:ind w:firstLine="709"/>
              <w:jc w:val="both"/>
            </w:pPr>
            <w:r w:rsidRPr="00B813DE">
              <w:t xml:space="preserve">Номінальна середньомісячна заробітна плата за січень-липень 2016 року до відповідного періоду 2015 року зросла на 782,58 грн. і становить </w:t>
            </w:r>
            <w:r w:rsidRPr="00B813DE">
              <w:rPr>
                <w:bCs/>
              </w:rPr>
              <w:t>3955,15</w:t>
            </w:r>
            <w:r w:rsidRPr="00B813DE">
              <w:t>грн. За рівнем середньомісячної заробітної плати область займає 11 місце серед регіонів України, а з</w:t>
            </w:r>
            <w:r w:rsidRPr="00B813DE">
              <w:rPr>
                <w:iCs/>
              </w:rPr>
              <w:t xml:space="preserve">а темпами росту середньомісячної заробітної плати </w:t>
            </w:r>
            <w:r w:rsidRPr="00B813DE">
              <w:t>область займає відповідно 12 місце.</w:t>
            </w:r>
          </w:p>
          <w:p w:rsidR="0014277B" w:rsidRPr="00B813DE" w:rsidRDefault="0014277B" w:rsidP="0014277B">
            <w:pPr>
              <w:ind w:firstLine="709"/>
              <w:jc w:val="both"/>
            </w:pPr>
            <w:r w:rsidRPr="00B813DE">
              <w:lastRenderedPageBreak/>
              <w:t xml:space="preserve">Індекс реальної  заробітної плати  по області за січень-липень 2016 року в порівнянні з відповідним періодом 2015 року зріс на 33,1 в.п. і складає 110,4% (по Україні зріс на 31 в.п. і склав 107,3%). За індексом реальної нарахованої заробітної плати за звітний період </w:t>
            </w:r>
            <w:r w:rsidRPr="00B813DE">
              <w:rPr>
                <w:iCs/>
              </w:rPr>
              <w:t xml:space="preserve">область займає 6 місце </w:t>
            </w:r>
            <w:r w:rsidRPr="00B813DE">
              <w:t>в рейтингу регіонів України.</w:t>
            </w:r>
          </w:p>
          <w:p w:rsidR="0014277B" w:rsidRPr="00B813DE" w:rsidRDefault="0014277B" w:rsidP="0014277B">
            <w:pPr>
              <w:ind w:firstLine="709"/>
              <w:jc w:val="both"/>
            </w:pPr>
            <w:r w:rsidRPr="00B813DE">
              <w:t xml:space="preserve">Середньомісячна заробітна плата по області у липні 2016 року зросла   до липня 2015 року на 29,4%, (+1044,57 грн.) і  склала </w:t>
            </w:r>
            <w:r w:rsidRPr="00B813DE">
              <w:rPr>
                <w:bCs/>
              </w:rPr>
              <w:t xml:space="preserve">4601,66 </w:t>
            </w:r>
            <w:r w:rsidRPr="00B813DE">
              <w:t xml:space="preserve">грн. (у 3,2 рази більша від встановленого по Україні прожиткового мінімуму для працездатних осіб - 1450 грн.). </w:t>
            </w:r>
          </w:p>
          <w:p w:rsidR="0014277B" w:rsidRPr="00B813DE" w:rsidRDefault="0014277B" w:rsidP="0014277B">
            <w:pPr>
              <w:ind w:firstLine="709"/>
              <w:jc w:val="both"/>
            </w:pPr>
            <w:r w:rsidRPr="00B813DE">
              <w:t>Індекс реальної заробітної плати у липні 2016 року до червня 2016 року  становив 105,2% - 1 місце по Україні (в середньому по Україні – 100,9%), до липня 2015 р. – 125,6% - також 1 місце по Україні (в середньому по Україні – 114,8%).</w:t>
            </w:r>
          </w:p>
          <w:p w:rsidR="0014277B" w:rsidRPr="00B813DE" w:rsidRDefault="0014277B" w:rsidP="0014277B">
            <w:pPr>
              <w:shd w:val="clear" w:color="auto" w:fill="FFFFFF"/>
              <w:autoSpaceDE w:val="0"/>
              <w:autoSpaceDN w:val="0"/>
              <w:adjustRightInd w:val="0"/>
              <w:ind w:firstLine="782"/>
              <w:jc w:val="both"/>
            </w:pPr>
            <w:r w:rsidRPr="00B813DE">
              <w:t xml:space="preserve">Частка штатних працівників, </w:t>
            </w:r>
            <w:r w:rsidRPr="00B813DE">
              <w:rPr>
                <w:bCs/>
              </w:rPr>
              <w:t xml:space="preserve">які повністю відпрацювали місячну норму часу, і </w:t>
            </w:r>
            <w:r w:rsidRPr="00B813DE">
              <w:t xml:space="preserve">у яких нарахована заробітна плата була </w:t>
            </w:r>
            <w:r w:rsidRPr="00B813DE">
              <w:rPr>
                <w:spacing w:val="-1"/>
              </w:rPr>
              <w:t xml:space="preserve">в межах мінімальної заробітної плати, встановленої законодавством (1450 грн.), у відсотках до </w:t>
            </w:r>
            <w:r w:rsidRPr="00B813DE">
              <w:t>загальної кількості штатних працівників, які повністю відпрацювали червень 2016 року складає 0,4%.</w:t>
            </w:r>
          </w:p>
          <w:p w:rsidR="0014277B" w:rsidRPr="00B813DE" w:rsidRDefault="0014277B" w:rsidP="0014277B">
            <w:pPr>
              <w:ind w:firstLine="708"/>
              <w:jc w:val="both"/>
            </w:pPr>
            <w:r w:rsidRPr="00B813DE">
              <w:t xml:space="preserve">Частка штатних працівників, </w:t>
            </w:r>
            <w:r w:rsidRPr="00B813DE">
              <w:rPr>
                <w:snapToGrid w:val="0"/>
              </w:rPr>
              <w:t>яким оплачено 50% і більше робочого часу,</w:t>
            </w:r>
            <w:r w:rsidRPr="00B813DE">
              <w:rPr>
                <w:bCs/>
              </w:rPr>
              <w:t xml:space="preserve"> і </w:t>
            </w:r>
            <w:r w:rsidRPr="00B813DE">
              <w:t xml:space="preserve">у яких нарахована заробітна плата була </w:t>
            </w:r>
            <w:r w:rsidRPr="00B813DE">
              <w:rPr>
                <w:spacing w:val="-1"/>
              </w:rPr>
              <w:t xml:space="preserve">в межах мінімальної заробітної плати, встановленої законодавством (1450 грн.), у відсотках до </w:t>
            </w:r>
            <w:r w:rsidRPr="00B813DE">
              <w:t>середньооблікової кількості штатних працівників за червень 2016 року складає 3,1%.</w:t>
            </w:r>
          </w:p>
          <w:p w:rsidR="0014277B" w:rsidRPr="00B813DE" w:rsidRDefault="0014277B" w:rsidP="0014277B">
            <w:pPr>
              <w:ind w:firstLine="709"/>
              <w:jc w:val="both"/>
            </w:pPr>
          </w:p>
          <w:p w:rsidR="0014277B" w:rsidRPr="00B813DE" w:rsidRDefault="0014277B" w:rsidP="0014277B">
            <w:pPr>
              <w:ind w:firstLine="709"/>
              <w:jc w:val="both"/>
              <w:rPr>
                <w:bCs/>
                <w:i/>
              </w:rPr>
            </w:pPr>
            <w:r w:rsidRPr="00B813DE">
              <w:rPr>
                <w:bCs/>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у січні - липні 2016 року  складає 3,3 (найвищий рівень середньомісячної зарплати у сфері</w:t>
            </w:r>
            <w:r w:rsidRPr="00B813DE">
              <w:rPr>
                <w:bCs/>
                <w:u w:val="single"/>
              </w:rPr>
              <w:t xml:space="preserve"> інформації та телекомунікацій </w:t>
            </w:r>
            <w:r w:rsidRPr="00B813DE">
              <w:rPr>
                <w:bCs/>
              </w:rPr>
              <w:t>– 6367,12 грн.</w:t>
            </w:r>
            <w:r w:rsidRPr="00B813DE">
              <w:rPr>
                <w:bCs/>
                <w:i/>
              </w:rPr>
              <w:t xml:space="preserve"> (в порівнянні з відповідним періодом минулого року зарплата зросла на 30,4%, або на 1485,06 грн., у 1,6 рази більше середнього рівня по економіці</w:t>
            </w:r>
            <w:r w:rsidRPr="00B813DE">
              <w:rPr>
                <w:bCs/>
              </w:rPr>
              <w:t>)</w:t>
            </w:r>
            <w:r w:rsidRPr="00B813DE">
              <w:rPr>
                <w:bCs/>
                <w:i/>
              </w:rPr>
              <w:t xml:space="preserve">, </w:t>
            </w:r>
            <w:r w:rsidRPr="00B813DE">
              <w:rPr>
                <w:bCs/>
              </w:rPr>
              <w:t xml:space="preserve">найнижчий - у сфері </w:t>
            </w:r>
            <w:r w:rsidRPr="00B813DE">
              <w:rPr>
                <w:bCs/>
                <w:u w:val="single"/>
              </w:rPr>
              <w:t>поштової та кур’єрської діяльності</w:t>
            </w:r>
            <w:r w:rsidRPr="00B813DE">
              <w:rPr>
                <w:bCs/>
              </w:rPr>
              <w:t xml:space="preserve"> – 2016,03 грн.</w:t>
            </w:r>
            <w:r w:rsidRPr="00B813DE">
              <w:rPr>
                <w:bCs/>
                <w:i/>
              </w:rPr>
              <w:t xml:space="preserve"> (відповідно зросла на 32,3%, або на 491,99 грн.,   в 2 рази  менше середнього рівня по економіці</w:t>
            </w:r>
            <w:r w:rsidRPr="00B813DE">
              <w:rPr>
                <w:bCs/>
              </w:rPr>
              <w:t>)</w:t>
            </w:r>
            <w:r w:rsidRPr="00B813DE">
              <w:rPr>
                <w:bCs/>
                <w:i/>
              </w:rPr>
              <w:t>.</w:t>
            </w:r>
          </w:p>
          <w:p w:rsidR="0014277B" w:rsidRPr="00B813DE" w:rsidRDefault="0014277B" w:rsidP="0014277B">
            <w:pPr>
              <w:ind w:firstLine="709"/>
              <w:jc w:val="both"/>
              <w:rPr>
                <w:bCs/>
                <w:i/>
              </w:rPr>
            </w:pPr>
            <w:r w:rsidRPr="00B813DE">
              <w:rPr>
                <w:bCs/>
              </w:rPr>
              <w:t>В розрізі видів діяльності, крім зазначеного найвищий рівень середньомісячної заробітної плати в області за січень-липень 2016 року досягнуто у працівників, які зайняті у сфері</w:t>
            </w:r>
            <w:r w:rsidRPr="00B813DE">
              <w:rPr>
                <w:bCs/>
                <w:u w:val="single"/>
              </w:rPr>
              <w:t>фінансової та страхової діяльності</w:t>
            </w:r>
            <w:r w:rsidRPr="00B813DE">
              <w:rPr>
                <w:bCs/>
                <w:i/>
              </w:rPr>
              <w:t xml:space="preserve"> – </w:t>
            </w:r>
            <w:r w:rsidRPr="00B813DE">
              <w:rPr>
                <w:bCs/>
              </w:rPr>
              <w:t xml:space="preserve">5910,76 грн. </w:t>
            </w:r>
            <w:r w:rsidRPr="00B813DE">
              <w:rPr>
                <w:bCs/>
                <w:i/>
              </w:rPr>
              <w:t>(в порівнянні з відповідним періодом минулого року зросла на 19,9 %, в 1,5 рази  перевищує середній рівень по економіці)</w:t>
            </w:r>
            <w:r w:rsidRPr="00B813DE">
              <w:rPr>
                <w:bCs/>
              </w:rPr>
              <w:t>,в галузі</w:t>
            </w:r>
            <w:r w:rsidRPr="00B813DE">
              <w:rPr>
                <w:bCs/>
                <w:u w:val="single"/>
              </w:rPr>
              <w:t xml:space="preserve"> промисловості</w:t>
            </w:r>
            <w:r w:rsidRPr="00B813DE">
              <w:rPr>
                <w:bCs/>
              </w:rPr>
              <w:t xml:space="preserve">, де середньомісячна заробітна плата становить – 5107,7 грн. </w:t>
            </w:r>
            <w:r w:rsidRPr="00B813DE">
              <w:rPr>
                <w:bCs/>
                <w:i/>
              </w:rPr>
              <w:t>(зросла на 30,8% і на 29,1% перевищує середній рівень по економіці)</w:t>
            </w:r>
            <w:r w:rsidRPr="00B813DE">
              <w:rPr>
                <w:bCs/>
              </w:rPr>
              <w:t xml:space="preserve"> тощо.</w:t>
            </w:r>
          </w:p>
          <w:p w:rsidR="0014277B" w:rsidRPr="00B813DE" w:rsidRDefault="0014277B" w:rsidP="0014277B">
            <w:pPr>
              <w:ind w:firstLine="709"/>
              <w:jc w:val="both"/>
              <w:rPr>
                <w:bCs/>
              </w:rPr>
            </w:pPr>
            <w:r w:rsidRPr="00B813DE">
              <w:rPr>
                <w:bCs/>
              </w:rPr>
              <w:t xml:space="preserve">Між підвидами промисловості коефіцієнт диференціації оплати праці складає 4,2: найвищий рівень середньомісячної заробітної плати отримують працівники підприємств переробної промисловості, які займаються виробництвом основних фармацевтичних продуктів і фармацевтичних препаратів – 12019,69 грн. (зарплата зросла в 1,6 рази або на 4519,83 грн., у 3  рази перевищує середній рівень по економіці), а найменший - на підприємствах, що займаються виробництвом машин і устаткування, не віднесених до інших угрупувань – 2876,63 грн. (відповідно  зросла на 19,1%, або на 460,71 грн., проте на 27,3% менше середнього рівня по економіці). </w:t>
            </w:r>
          </w:p>
          <w:p w:rsidR="0014277B" w:rsidRPr="00B813DE" w:rsidRDefault="0014277B" w:rsidP="0014277B">
            <w:pPr>
              <w:ind w:firstLine="709"/>
              <w:jc w:val="both"/>
              <w:rPr>
                <w:bCs/>
              </w:rPr>
            </w:pPr>
            <w:r w:rsidRPr="00B813DE">
              <w:rPr>
                <w:bCs/>
              </w:rPr>
              <w:t xml:space="preserve">Серед промислових підприємств   рівень середньомісячної заробітної плати за січень-липень  2016 року вище середнього по області на підприємствах: з виробництва комп’ютерів, електронної та оптичної продукції – 6158,36 грн. (ріст в 1,8 рази), з постачання електроенергії, газу, пари та кондиційованого повітря – 5976,06 грн. (ріст на 30,1%), з виробництва харчових продуктів, напоїв та тютюнових виробів – 5728,45 грн. (ріст на 30,6%), з виробництва меблів, іншої продукції, ремонту і монтажу машин і устаткування– 5206,18 грн. (ріст на 43,5%), з виробництва хімічних речовин і хімічної продукції – 4433,60 грн. (ріст  на 7,1%) тощо. </w:t>
            </w:r>
          </w:p>
          <w:p w:rsidR="0014277B" w:rsidRPr="00B813DE" w:rsidRDefault="0014277B" w:rsidP="0014277B">
            <w:pPr>
              <w:ind w:firstLine="709"/>
              <w:jc w:val="both"/>
              <w:rPr>
                <w:bCs/>
              </w:rPr>
            </w:pPr>
            <w:r w:rsidRPr="00B813DE">
              <w:rPr>
                <w:bCs/>
              </w:rPr>
              <w:t>В галузі сільське господарство, лісове господарство та рибне господарство, середньомісячна заробітна плата працівників складає 3933,18 грн., і зросла до відповідного періоду минулого року на 20,1% та водночас  на 0,6% менше середнього рівня по економіці. В тому числі по виду діяльності сільське господарство – зарплата у сільгоспвиробників зросла на 17,3%  і складає 3772,19 грн. (на 4,6% менше середнього рівня по економіці області).</w:t>
            </w:r>
          </w:p>
          <w:p w:rsidR="0014277B" w:rsidRPr="00B813DE" w:rsidRDefault="0014277B" w:rsidP="0014277B">
            <w:pPr>
              <w:ind w:firstLine="709"/>
              <w:jc w:val="both"/>
            </w:pPr>
            <w:r w:rsidRPr="00B813DE">
              <w:lastRenderedPageBreak/>
              <w:t xml:space="preserve">Серед непромислових видів діяльності,  в галузі транспорту, складського господарства, поштової та кур’єрської діяльності, середньомісячна заробітна плата становить – </w:t>
            </w:r>
            <w:r w:rsidRPr="00B813DE">
              <w:rPr>
                <w:bCs/>
              </w:rPr>
              <w:t xml:space="preserve">4434,87 </w:t>
            </w:r>
            <w:r w:rsidRPr="00B813DE">
              <w:t xml:space="preserve">грн. (зросла на 23,6%), в тому числі </w:t>
            </w:r>
            <w:r w:rsidRPr="00B813DE">
              <w:rPr>
                <w:iCs/>
              </w:rPr>
              <w:t xml:space="preserve">складське господарство та допоміжна діяльність у сфері транспорту </w:t>
            </w:r>
            <w:r w:rsidRPr="00B813DE">
              <w:t xml:space="preserve">– </w:t>
            </w:r>
            <w:r w:rsidRPr="00B813DE">
              <w:rPr>
                <w:bCs/>
              </w:rPr>
              <w:t xml:space="preserve">4987,7 </w:t>
            </w:r>
            <w:r w:rsidRPr="00B813DE">
              <w:t xml:space="preserve">грн. (+ 22,7%); у сфері державного управління й оборони; обов’язкового соціального страхування -   </w:t>
            </w:r>
            <w:r w:rsidRPr="00B813DE">
              <w:rPr>
                <w:bCs/>
              </w:rPr>
              <w:t xml:space="preserve">4430,38 </w:t>
            </w:r>
            <w:r w:rsidRPr="00B813DE">
              <w:t>грн. ( + 27,6%,) тощо.</w:t>
            </w:r>
          </w:p>
          <w:p w:rsidR="0014277B" w:rsidRPr="00B813DE" w:rsidRDefault="0014277B" w:rsidP="0014277B">
            <w:pPr>
              <w:ind w:firstLine="709"/>
              <w:jc w:val="both"/>
            </w:pPr>
            <w:r w:rsidRPr="00B813DE">
              <w:t xml:space="preserve">Також наростили рівень оплати праці на підприємствах (становить менше  середнього рівня по економіці) у сфері  професійної, наукової та технічної діяльності – середньомісячна зарплата зросла на 26,6% (склала </w:t>
            </w:r>
            <w:r w:rsidRPr="00B813DE">
              <w:rPr>
                <w:bCs/>
              </w:rPr>
              <w:t xml:space="preserve">3934,54 </w:t>
            </w:r>
            <w:r w:rsidRPr="00B813DE">
              <w:t>грн.); які займаються операціями з нерухомим майном –  на 46,5% ( 3655,80 грн.), у  будівництві -  зросла на 35,9%  (</w:t>
            </w:r>
            <w:r w:rsidRPr="00B813DE">
              <w:rPr>
                <w:bCs/>
              </w:rPr>
              <w:t xml:space="preserve">3755,89 </w:t>
            </w:r>
            <w:r w:rsidRPr="00B813DE">
              <w:t>грн.)  ,     оптової та роздрібної торгівлі, ремонту автотранспортних засобів і мотоциклів –   на  19,4%  (</w:t>
            </w:r>
            <w:r w:rsidRPr="00B813DE">
              <w:rPr>
                <w:bCs/>
              </w:rPr>
              <w:t xml:space="preserve">3496,55 </w:t>
            </w:r>
            <w:r w:rsidRPr="00B813DE">
              <w:t>грн.), та ін.</w:t>
            </w:r>
          </w:p>
          <w:p w:rsidR="0014277B" w:rsidRPr="00B813DE" w:rsidRDefault="0014277B" w:rsidP="0014277B">
            <w:pPr>
              <w:ind w:firstLine="709"/>
              <w:jc w:val="both"/>
            </w:pPr>
            <w:r w:rsidRPr="00B813DE">
              <w:t xml:space="preserve">Найменший рівень оплати праці в січні-липні 2016 року мають працівники: у сфері мистецтва, спорту розваг та відпочинку - на 29,4% менше середньообласного рівня (складає </w:t>
            </w:r>
            <w:r w:rsidRPr="00B813DE">
              <w:rPr>
                <w:bCs/>
              </w:rPr>
              <w:t xml:space="preserve">2795,95 </w:t>
            </w:r>
            <w:r w:rsidRPr="00B813DE">
              <w:t>грн., і зросла на 21,3%),</w:t>
            </w:r>
            <w:r w:rsidRPr="00B813DE">
              <w:rPr>
                <w:iCs/>
              </w:rPr>
              <w:t xml:space="preserve">  що зайняті тимчасовим розміщуванням й організацією харчування</w:t>
            </w:r>
            <w:r w:rsidRPr="00B813DE">
              <w:t xml:space="preserve"> - відповідно на 31% менше (складає – </w:t>
            </w:r>
            <w:r w:rsidRPr="00B813DE">
              <w:rPr>
                <w:bCs/>
              </w:rPr>
              <w:t xml:space="preserve">2729,12 </w:t>
            </w:r>
            <w:r w:rsidRPr="00B813DE">
              <w:t xml:space="preserve">грн.,+ 31,5%) у сфері охорони здоров’я та надання соціальної допомоги - на 27,7% менше (  </w:t>
            </w:r>
            <w:r w:rsidRPr="00B813DE">
              <w:rPr>
                <w:bCs/>
              </w:rPr>
              <w:t xml:space="preserve">2858,99 </w:t>
            </w:r>
            <w:r w:rsidRPr="00B813DE">
              <w:t>грн. , +20,8%), тощо.</w:t>
            </w:r>
          </w:p>
          <w:p w:rsidR="00C61054" w:rsidRPr="000B6CFB" w:rsidRDefault="00C61054" w:rsidP="00C61054">
            <w:pPr>
              <w:suppressAutoHyphens/>
              <w:ind w:firstLine="709"/>
              <w:jc w:val="both"/>
            </w:pPr>
            <w:r w:rsidRPr="000B6CFB">
              <w:t xml:space="preserve">В розрізі адміністративно-територіальних одиниць вище середнього рівня по області </w:t>
            </w:r>
            <w:r w:rsidRPr="000B6CFB">
              <w:rPr>
                <w:u w:val="single"/>
              </w:rPr>
              <w:t>за січень-червень 2016 року</w:t>
            </w:r>
            <w:r w:rsidRPr="000B6CFB">
              <w:t xml:space="preserve"> отримують заробітну плату працівники </w:t>
            </w:r>
            <w:r w:rsidRPr="000B6CFB">
              <w:rPr>
                <w:u w:val="single"/>
              </w:rPr>
              <w:t>4 міст обласного значення</w:t>
            </w:r>
            <w:r w:rsidRPr="000B6CFB">
              <w:t xml:space="preserve">: </w:t>
            </w:r>
          </w:p>
          <w:p w:rsidR="00C61054" w:rsidRPr="000B6CFB" w:rsidRDefault="00C61054" w:rsidP="00C61054">
            <w:pPr>
              <w:numPr>
                <w:ilvl w:val="0"/>
                <w:numId w:val="2"/>
              </w:numPr>
              <w:tabs>
                <w:tab w:val="clear" w:pos="1140"/>
                <w:tab w:val="left" w:pos="720"/>
              </w:tabs>
              <w:suppressAutoHyphens/>
              <w:ind w:left="0" w:firstLine="709"/>
              <w:jc w:val="both"/>
            </w:pPr>
            <w:r w:rsidRPr="000B6CFB">
              <w:t xml:space="preserve">м. Ладижин – майже в 1,6 рази - </w:t>
            </w:r>
            <w:r w:rsidRPr="000B6CFB">
              <w:rPr>
                <w:lang w:val="ru-RU"/>
              </w:rPr>
              <w:t>6028</w:t>
            </w:r>
            <w:r w:rsidRPr="000B6CFB">
              <w:t xml:space="preserve"> грн. (+9,8% до рівня січня-червня 2015</w:t>
            </w:r>
          </w:p>
          <w:p w:rsidR="00C61054" w:rsidRPr="000B6CFB" w:rsidRDefault="00C61054" w:rsidP="00C61054">
            <w:pPr>
              <w:tabs>
                <w:tab w:val="left" w:pos="34"/>
              </w:tabs>
              <w:suppressAutoHyphens/>
              <w:ind w:firstLine="709"/>
              <w:jc w:val="both"/>
            </w:pPr>
            <w:r w:rsidRPr="000B6CFB">
              <w:t xml:space="preserve"> року);</w:t>
            </w:r>
          </w:p>
          <w:p w:rsidR="00C61054" w:rsidRPr="000B6CFB" w:rsidRDefault="00C61054" w:rsidP="00C61054">
            <w:pPr>
              <w:numPr>
                <w:ilvl w:val="0"/>
                <w:numId w:val="2"/>
              </w:numPr>
              <w:tabs>
                <w:tab w:val="clear" w:pos="1140"/>
                <w:tab w:val="left" w:pos="720"/>
              </w:tabs>
              <w:suppressAutoHyphens/>
              <w:ind w:left="0" w:firstLine="709"/>
              <w:jc w:val="both"/>
            </w:pPr>
            <w:r w:rsidRPr="000B6CFB">
              <w:t xml:space="preserve">м. Козятин – на  20% - 4615 грн. (+21,3%); </w:t>
            </w:r>
          </w:p>
          <w:p w:rsidR="00C61054" w:rsidRPr="000B6CFB" w:rsidRDefault="00C61054" w:rsidP="00C61054">
            <w:pPr>
              <w:numPr>
                <w:ilvl w:val="0"/>
                <w:numId w:val="2"/>
              </w:numPr>
              <w:tabs>
                <w:tab w:val="clear" w:pos="1140"/>
                <w:tab w:val="left" w:pos="720"/>
              </w:tabs>
              <w:suppressAutoHyphens/>
              <w:ind w:left="0" w:firstLine="709"/>
              <w:jc w:val="both"/>
            </w:pPr>
            <w:r w:rsidRPr="000B6CFB">
              <w:t>м. Жмеринка – на 13% - 4348грн. (+27,9%);</w:t>
            </w:r>
          </w:p>
          <w:p w:rsidR="00C61054" w:rsidRPr="000B6CFB" w:rsidRDefault="00C61054" w:rsidP="00C61054">
            <w:pPr>
              <w:numPr>
                <w:ilvl w:val="0"/>
                <w:numId w:val="2"/>
              </w:numPr>
              <w:tabs>
                <w:tab w:val="clear" w:pos="1140"/>
                <w:tab w:val="left" w:pos="720"/>
              </w:tabs>
              <w:suppressAutoHyphens/>
              <w:ind w:left="0" w:firstLine="709"/>
              <w:jc w:val="both"/>
            </w:pPr>
            <w:r w:rsidRPr="000B6CFB">
              <w:t>м. Вінниця – на 12,3% - 4319 грн. (+26,8%).</w:t>
            </w:r>
          </w:p>
          <w:p w:rsidR="00C61054" w:rsidRPr="000B6CFB" w:rsidRDefault="00C61054" w:rsidP="00C61054">
            <w:pPr>
              <w:suppressAutoHyphens/>
              <w:ind w:firstLine="709"/>
              <w:jc w:val="both"/>
              <w:rPr>
                <w:u w:val="single"/>
              </w:rPr>
            </w:pPr>
            <w:r w:rsidRPr="000B6CFB">
              <w:rPr>
                <w:u w:val="single"/>
              </w:rPr>
              <w:t>та  3 районів:</w:t>
            </w:r>
          </w:p>
          <w:p w:rsidR="00C61054" w:rsidRPr="000B6CFB" w:rsidRDefault="00C61054" w:rsidP="00C61054">
            <w:pPr>
              <w:suppressAutoHyphens/>
              <w:ind w:firstLine="709"/>
              <w:jc w:val="both"/>
            </w:pPr>
            <w:r w:rsidRPr="000B6CFB">
              <w:t xml:space="preserve">           Гайсинського – на 8,5% - 4174 грн. (+31,9%);</w:t>
            </w:r>
          </w:p>
          <w:p w:rsidR="00C61054" w:rsidRPr="000B6CFB" w:rsidRDefault="00C61054" w:rsidP="00C61054">
            <w:pPr>
              <w:suppressAutoHyphens/>
              <w:ind w:firstLine="709"/>
              <w:jc w:val="both"/>
            </w:pPr>
            <w:r w:rsidRPr="000B6CFB">
              <w:t>Крижопільського – на 4,3% - 4012 грн. (+31,5%);</w:t>
            </w:r>
          </w:p>
          <w:p w:rsidR="00C61054" w:rsidRPr="000B6CFB" w:rsidRDefault="00C61054" w:rsidP="00C61054">
            <w:pPr>
              <w:suppressAutoHyphens/>
              <w:ind w:firstLine="709"/>
              <w:jc w:val="both"/>
            </w:pPr>
            <w:r w:rsidRPr="000B6CFB">
              <w:t>Піщанського -  на 0,2% - 3854 грн. (+23,3%).</w:t>
            </w:r>
          </w:p>
          <w:p w:rsidR="00C61054" w:rsidRPr="000B6CFB" w:rsidRDefault="00C61054" w:rsidP="00C61054">
            <w:pPr>
              <w:suppressAutoHyphens/>
              <w:ind w:firstLine="709"/>
              <w:jc w:val="both"/>
            </w:pPr>
            <w:r w:rsidRPr="000B6CFB">
              <w:t xml:space="preserve">           У всіх інших районах та містах області рівень середньомісячної заробітної плати нижче середнього показника по області, серед яких найбільший її розмір мають наступні райони:</w:t>
            </w:r>
          </w:p>
          <w:p w:rsidR="00C61054" w:rsidRPr="000B6CFB" w:rsidRDefault="00C61054" w:rsidP="00C61054">
            <w:pPr>
              <w:numPr>
                <w:ilvl w:val="0"/>
                <w:numId w:val="19"/>
              </w:numPr>
              <w:tabs>
                <w:tab w:val="clear" w:pos="1965"/>
                <w:tab w:val="left" w:pos="720"/>
              </w:tabs>
              <w:suppressAutoHyphens/>
              <w:ind w:left="0" w:firstLine="709"/>
              <w:jc w:val="both"/>
            </w:pPr>
            <w:r w:rsidRPr="000B6CFB">
              <w:t>Вінницький – 3760 грн. (+24,8% до рівня січня-червня 2015 року);</w:t>
            </w:r>
          </w:p>
          <w:p w:rsidR="00C61054" w:rsidRPr="000B6CFB" w:rsidRDefault="00C61054" w:rsidP="00C61054">
            <w:pPr>
              <w:numPr>
                <w:ilvl w:val="0"/>
                <w:numId w:val="19"/>
              </w:numPr>
              <w:tabs>
                <w:tab w:val="clear" w:pos="1965"/>
                <w:tab w:val="left" w:pos="720"/>
              </w:tabs>
              <w:suppressAutoHyphens/>
              <w:ind w:left="0" w:firstLine="709"/>
              <w:jc w:val="both"/>
            </w:pPr>
            <w:r w:rsidRPr="000B6CFB">
              <w:t>Іллінецький – 3749грн.  (+25,1%);</w:t>
            </w:r>
          </w:p>
          <w:p w:rsidR="00C61054" w:rsidRPr="000B6CFB" w:rsidRDefault="00C61054" w:rsidP="00C61054">
            <w:pPr>
              <w:numPr>
                <w:ilvl w:val="0"/>
                <w:numId w:val="19"/>
              </w:numPr>
              <w:tabs>
                <w:tab w:val="clear" w:pos="1965"/>
                <w:tab w:val="left" w:pos="720"/>
              </w:tabs>
              <w:suppressAutoHyphens/>
              <w:ind w:left="0" w:firstLine="709"/>
              <w:jc w:val="both"/>
            </w:pPr>
            <w:r w:rsidRPr="000B6CFB">
              <w:t>Тростянецький - 3628 грн. (+9,6%);</w:t>
            </w:r>
          </w:p>
          <w:p w:rsidR="00C61054" w:rsidRPr="000B6CFB" w:rsidRDefault="00C61054" w:rsidP="00C61054">
            <w:pPr>
              <w:numPr>
                <w:ilvl w:val="0"/>
                <w:numId w:val="19"/>
              </w:numPr>
              <w:tabs>
                <w:tab w:val="clear" w:pos="1965"/>
                <w:tab w:val="left" w:pos="720"/>
              </w:tabs>
              <w:suppressAutoHyphens/>
              <w:ind w:left="0" w:firstLine="709"/>
              <w:jc w:val="both"/>
            </w:pPr>
            <w:r w:rsidRPr="000B6CFB">
              <w:t>Барський – 3560 грн. (+24,2%);</w:t>
            </w:r>
          </w:p>
          <w:p w:rsidR="00C61054" w:rsidRPr="000B6CFB" w:rsidRDefault="00C61054" w:rsidP="00C61054">
            <w:pPr>
              <w:numPr>
                <w:ilvl w:val="0"/>
                <w:numId w:val="19"/>
              </w:numPr>
              <w:tabs>
                <w:tab w:val="clear" w:pos="1965"/>
                <w:tab w:val="left" w:pos="720"/>
              </w:tabs>
              <w:suppressAutoHyphens/>
              <w:ind w:left="0" w:firstLine="709"/>
              <w:jc w:val="both"/>
            </w:pPr>
            <w:r w:rsidRPr="000B6CFB">
              <w:t>Хмільницький – 3544 грн. (+27,5%);</w:t>
            </w:r>
          </w:p>
          <w:p w:rsidR="00C61054" w:rsidRPr="000B6CFB" w:rsidRDefault="00C61054" w:rsidP="00C61054">
            <w:pPr>
              <w:numPr>
                <w:ilvl w:val="0"/>
                <w:numId w:val="19"/>
              </w:numPr>
              <w:tabs>
                <w:tab w:val="clear" w:pos="1965"/>
                <w:tab w:val="left" w:pos="720"/>
              </w:tabs>
              <w:suppressAutoHyphens/>
              <w:ind w:left="0" w:firstLine="709"/>
              <w:jc w:val="both"/>
            </w:pPr>
            <w:r w:rsidRPr="000B6CFB">
              <w:t>Томашпільський 3480 грн. (+15,3%).</w:t>
            </w:r>
          </w:p>
          <w:p w:rsidR="00C61054" w:rsidRPr="000B6CFB" w:rsidRDefault="00C61054" w:rsidP="00C61054">
            <w:pPr>
              <w:suppressAutoHyphens/>
              <w:ind w:firstLine="709"/>
              <w:jc w:val="both"/>
            </w:pPr>
          </w:p>
          <w:p w:rsidR="00C61054" w:rsidRPr="000B6CFB" w:rsidRDefault="00C61054" w:rsidP="00C61054">
            <w:pPr>
              <w:suppressAutoHyphens/>
              <w:ind w:firstLine="709"/>
              <w:jc w:val="both"/>
            </w:pPr>
            <w:r w:rsidRPr="000B6CFB">
              <w:t>Наростили середньомісячну заробітну плату протягом січня-червня 2016 року всі міста обласного значення (найбільше м.Могилів-Подільський – на 31,4% і м.Хмільник – на 28,3%) та усі 27 районів.</w:t>
            </w:r>
          </w:p>
          <w:p w:rsidR="00C61054" w:rsidRPr="000B6CFB" w:rsidRDefault="00C61054" w:rsidP="00C61054">
            <w:pPr>
              <w:suppressAutoHyphens/>
              <w:ind w:firstLine="709"/>
              <w:jc w:val="both"/>
            </w:pPr>
            <w:r w:rsidRPr="000B6CFB">
              <w:t>Найбільший темп приросту рівня середньомісячної заробітної плати за січень-червень 2016 року в порівнянні з відповідним періодом 2015 року спостерігається у наступних районах: Гайсинському – на 31,9%, Крижопільському – на 31,5%, Калинівському – 28,1%, Хмільницькому - на 27,5%,  Козятинському, Погребищенському та Ямпільському – на 27,2%,  тощо.</w:t>
            </w:r>
          </w:p>
          <w:p w:rsidR="00C61054" w:rsidRPr="000B6CFB" w:rsidRDefault="00C61054" w:rsidP="00C61054">
            <w:pPr>
              <w:tabs>
                <w:tab w:val="left" w:pos="0"/>
              </w:tabs>
              <w:suppressAutoHyphens/>
              <w:snapToGrid w:val="0"/>
              <w:ind w:firstLine="709"/>
              <w:jc w:val="both"/>
            </w:pPr>
            <w:r w:rsidRPr="000B6CFB">
              <w:t>Найнижча зарплата в області у працівників підприємств та організацій Могилів-Подільського - 2664 грн. (до січня-червня 2015 року ріст на 8,5%, на 30,7% менше середньо обласного рівня), Чечельницького – 2688 грн. (відповідно +22,4%, на 30,1% менше), Погребищенського – 2788 грн. (+27,2%, на 27,5% менше), Теплицького - 2875 грн. (+15,2%, на 25,3% менше), тощо.</w:t>
            </w:r>
          </w:p>
          <w:p w:rsidR="00997C0E" w:rsidRPr="000B6CFB" w:rsidRDefault="00997C0E" w:rsidP="0000432A">
            <w:pPr>
              <w:tabs>
                <w:tab w:val="left" w:pos="0"/>
              </w:tabs>
              <w:suppressAutoHyphens/>
              <w:snapToGrid w:val="0"/>
              <w:ind w:firstLine="459"/>
              <w:jc w:val="both"/>
              <w:rPr>
                <w:sz w:val="28"/>
                <w:szCs w:val="28"/>
              </w:rPr>
            </w:pPr>
          </w:p>
        </w:tc>
      </w:tr>
      <w:tr w:rsidR="00A156B8" w:rsidRPr="000B6CFB" w:rsidTr="00EB0632">
        <w:trPr>
          <w:trHeight w:val="1133"/>
        </w:trPr>
        <w:tc>
          <w:tcPr>
            <w:tcW w:w="1702" w:type="dxa"/>
            <w:gridSpan w:val="2"/>
            <w:tcBorders>
              <w:bottom w:val="single" w:sz="4" w:space="0" w:color="auto"/>
            </w:tcBorders>
            <w:shd w:val="clear" w:color="auto" w:fill="auto"/>
          </w:tcPr>
          <w:p w:rsidR="00A156B8" w:rsidRPr="000B6CFB" w:rsidRDefault="00A156B8" w:rsidP="00CB796B">
            <w:pPr>
              <w:pStyle w:val="310"/>
              <w:snapToGrid w:val="0"/>
              <w:jc w:val="left"/>
              <w:rPr>
                <w:rFonts w:cs="Times New Roman"/>
                <w:b/>
                <w:i/>
                <w:sz w:val="24"/>
              </w:rPr>
            </w:pPr>
            <w:r w:rsidRPr="000B6CFB">
              <w:rPr>
                <w:rFonts w:cs="Times New Roman"/>
                <w:b/>
                <w:i/>
                <w:sz w:val="24"/>
              </w:rPr>
              <w:lastRenderedPageBreak/>
              <w:t>Проблемні питання: заборгованість із виплати заробітної плати</w:t>
            </w:r>
          </w:p>
        </w:tc>
        <w:tc>
          <w:tcPr>
            <w:tcW w:w="9072" w:type="dxa"/>
            <w:tcBorders>
              <w:bottom w:val="single" w:sz="4" w:space="0" w:color="auto"/>
            </w:tcBorders>
            <w:shd w:val="clear" w:color="auto" w:fill="auto"/>
          </w:tcPr>
          <w:p w:rsidR="00C61054" w:rsidRPr="000B6CFB" w:rsidRDefault="00C61054" w:rsidP="00C61054">
            <w:pPr>
              <w:ind w:firstLine="709"/>
              <w:jc w:val="both"/>
              <w:rPr>
                <w:i/>
              </w:rPr>
            </w:pPr>
            <w:r w:rsidRPr="000B6CFB">
              <w:t>Відповідно до оперативної інформації Головного управління статистики у Вінницькій області станом на 1 серпня 2016 року, загальна сума заборгованості із заробітної платина 43 підприємствах області (включаючи 14 економічно активних, 25 підприємств-банкрутів та 4 економічно неактивні, які призупинили діяльність) становить в цілому 10879,8</w:t>
            </w:r>
            <w:r w:rsidRPr="000B6CFB">
              <w:rPr>
                <w:bCs/>
              </w:rPr>
              <w:t>тис.грн.</w:t>
            </w:r>
            <w:r w:rsidRPr="000B6CFB">
              <w:t>, в порівнянні з початком 2016 року зросла на 8%, або на 803,9 тис.грн., до рівня станом на 01.07.2016 року зменшилась на 8,4% або 1045 тис.грн. За рівнем заборгованості із заробітної плати область займає 8 місце серед регіонів України.</w:t>
            </w:r>
          </w:p>
          <w:p w:rsidR="00C61054" w:rsidRPr="000B6CFB" w:rsidRDefault="00C61054" w:rsidP="00C61054">
            <w:pPr>
              <w:ind w:firstLine="709"/>
              <w:jc w:val="both"/>
            </w:pPr>
            <w:r w:rsidRPr="000B6CFB">
              <w:t>На</w:t>
            </w:r>
            <w:r w:rsidRPr="000B6CFB">
              <w:rPr>
                <w:u w:val="single"/>
              </w:rPr>
              <w:t>економічно активних підприємствах</w:t>
            </w:r>
            <w:r w:rsidRPr="000B6CFB">
              <w:t>області сума боргу на звітну дату становить 2155,5 тис.грн. або 19,8% від загальної суми по області, проти 01.07.2016 року зменшилась на 12,7%, або на 314,8 тис.грн., до початку року зменшилась на 43,4%, або на 1654,7 тис.грн. За рівнем заборгованості із заробітної плати на економічно активних підприємствах область займає 5 місце серед регіонів України.</w:t>
            </w:r>
          </w:p>
          <w:p w:rsidR="00C61054" w:rsidRPr="000B6CFB" w:rsidRDefault="00C61054" w:rsidP="00C61054">
            <w:pPr>
              <w:pStyle w:val="310"/>
              <w:ind w:firstLine="709"/>
              <w:rPr>
                <w:sz w:val="24"/>
              </w:rPr>
            </w:pPr>
            <w:r w:rsidRPr="000B6CFB">
              <w:rPr>
                <w:sz w:val="24"/>
              </w:rPr>
              <w:t>Сума боргу із заробітної плати на</w:t>
            </w:r>
            <w:r w:rsidRPr="000B6CFB">
              <w:rPr>
                <w:sz w:val="24"/>
                <w:u w:val="single"/>
              </w:rPr>
              <w:t>підприємствах-банкрутах</w:t>
            </w:r>
            <w:r w:rsidRPr="000B6CFB">
              <w:rPr>
                <w:sz w:val="24"/>
              </w:rPr>
              <w:t xml:space="preserve"> області проти початку 2016 року зросла на 15,1% або на 800,9 тис.грн., а до рівня станом на 01.07.2016 року зменшилась на 10,7% або на 730,2 тис.грн. та станом на 01.08.2016 року складає 6089,4 тис.грн.,або 56% від загальної суми боргу по області. </w:t>
            </w:r>
          </w:p>
          <w:p w:rsidR="00C61054" w:rsidRPr="000B6CFB" w:rsidRDefault="00C61054" w:rsidP="00C61054">
            <w:pPr>
              <w:pStyle w:val="310"/>
              <w:ind w:firstLine="709"/>
              <w:rPr>
                <w:i/>
                <w:sz w:val="24"/>
              </w:rPr>
            </w:pPr>
            <w:r w:rsidRPr="000B6CFB">
              <w:rPr>
                <w:sz w:val="24"/>
              </w:rPr>
              <w:t>Заборгованість із зарплати на е</w:t>
            </w:r>
            <w:r w:rsidRPr="000B6CFB">
              <w:rPr>
                <w:sz w:val="24"/>
                <w:u w:val="single"/>
              </w:rPr>
              <w:t>кономічно неактивних підприємствах</w:t>
            </w:r>
            <w:r w:rsidRPr="000B6CFB">
              <w:rPr>
                <w:i/>
                <w:sz w:val="24"/>
              </w:rPr>
              <w:t>(які призупинили діяльність)</w:t>
            </w:r>
            <w:r w:rsidRPr="000B6CFB">
              <w:rPr>
                <w:sz w:val="24"/>
              </w:rPr>
              <w:t xml:space="preserve"> станом на звітну дату складає  2634,9 тис.грн. або 22,1% від загальної суми боргу по області і  по відношенню до 01.01.2016 року зросла в 2,7 рази або на 1657,7 тис.грн., а до 01.07.2016 року не змінилась.</w:t>
            </w:r>
          </w:p>
          <w:p w:rsidR="0014277B" w:rsidRPr="00B813DE" w:rsidRDefault="0014277B" w:rsidP="0014277B">
            <w:pPr>
              <w:pStyle w:val="310"/>
              <w:ind w:firstLine="720"/>
              <w:rPr>
                <w:sz w:val="24"/>
              </w:rPr>
            </w:pPr>
            <w:r w:rsidRPr="00B813DE">
              <w:rPr>
                <w:sz w:val="24"/>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(71,6%), у сфері: професійної, наукової та технічної діяльності(7,9%), будівництва (7,2%),  адміністративного та допоміжного обслуговування (4,3%), які зайняті операціями із нерухомим майном (3,0%) тощо.</w:t>
            </w:r>
          </w:p>
          <w:p w:rsidR="0014277B" w:rsidRPr="00B813DE" w:rsidRDefault="0014277B" w:rsidP="0014277B">
            <w:pPr>
              <w:pStyle w:val="310"/>
              <w:ind w:firstLine="708"/>
              <w:rPr>
                <w:sz w:val="24"/>
              </w:rPr>
            </w:pPr>
            <w:r w:rsidRPr="00B813DE">
              <w:rPr>
                <w:sz w:val="24"/>
              </w:rPr>
              <w:t xml:space="preserve">На </w:t>
            </w:r>
            <w:r w:rsidRPr="00B813DE">
              <w:rPr>
                <w:i/>
                <w:sz w:val="24"/>
              </w:rPr>
              <w:t>промислових підприємствах</w:t>
            </w:r>
            <w:r w:rsidRPr="00B813DE">
              <w:rPr>
                <w:sz w:val="24"/>
              </w:rPr>
              <w:t xml:space="preserve"> області  заборгованість із заробітної плати станом на 01.08.2016 року склала 7794,4 тис.грн. (</w:t>
            </w:r>
            <w:r w:rsidRPr="00B813DE">
              <w:rPr>
                <w:i/>
                <w:sz w:val="24"/>
              </w:rPr>
              <w:t>71,6% у структурі боргів</w:t>
            </w:r>
            <w:r w:rsidRPr="00B813DE">
              <w:rPr>
                <w:sz w:val="24"/>
              </w:rPr>
              <w:t>) і в порівнянні з 01.01.2016 року зросла на 30% або на 1801,0 тис.грн., в тому числі на економічно активних промислових підприємствах борг становить 1225,7 тис.грн.</w:t>
            </w:r>
            <w:r w:rsidRPr="00B813DE">
              <w:rPr>
                <w:i/>
                <w:sz w:val="24"/>
              </w:rPr>
              <w:t xml:space="preserve"> (15,7% загальної суми боргу по галузі</w:t>
            </w:r>
            <w:r w:rsidRPr="00B813DE">
              <w:rPr>
                <w:sz w:val="24"/>
              </w:rPr>
              <w:t xml:space="preserve">) і до 01.01.2016 року скоротився на 1273,5 тис.грн. або в 2,04 рази.На промислових підприємствах-банкрутах   сума боргу з оплати праці становила 4270,4 тис.грн. </w:t>
            </w:r>
            <w:r w:rsidRPr="00B813DE">
              <w:rPr>
                <w:i/>
                <w:sz w:val="24"/>
              </w:rPr>
              <w:t>(54,8% загальної суми боргу по галузі</w:t>
            </w:r>
            <w:r w:rsidRPr="00B813DE">
              <w:rPr>
                <w:sz w:val="24"/>
              </w:rPr>
              <w:t>) та проти 01.01.2016 р. зросла в 1,1,5 рази або на 1416,8 тис.грн.</w:t>
            </w:r>
          </w:p>
          <w:p w:rsidR="0014277B" w:rsidRPr="00B813DE" w:rsidRDefault="0014277B" w:rsidP="0014277B">
            <w:pPr>
              <w:pStyle w:val="310"/>
              <w:ind w:firstLine="720"/>
              <w:rPr>
                <w:sz w:val="24"/>
              </w:rPr>
            </w:pPr>
            <w:r w:rsidRPr="00B813DE">
              <w:rPr>
                <w:sz w:val="24"/>
              </w:rPr>
              <w:t xml:space="preserve">На </w:t>
            </w:r>
            <w:r w:rsidRPr="00B813DE">
              <w:rPr>
                <w:i/>
                <w:sz w:val="24"/>
              </w:rPr>
              <w:t xml:space="preserve">  підприємствахсільського господарства, лісового господарства та рибного господарства</w:t>
            </w:r>
            <w:r w:rsidRPr="00B813DE">
              <w:rPr>
                <w:sz w:val="24"/>
              </w:rPr>
              <w:t xml:space="preserve"> області  заборгованість із заробітної плати станом на 01.08.2016 року склала 25,9 тис.грн. і в порівнянні з 01.01.2016 року не змінилась. На економічно активних підприємствах борги відсутні. Борги допущені лише на одному  сільськогосподарському підприємстві, яке перебуває у процедурі банкрутства.  </w:t>
            </w:r>
          </w:p>
          <w:p w:rsidR="00C61054" w:rsidRPr="0014277B" w:rsidRDefault="0014277B" w:rsidP="00EB0632">
            <w:pPr>
              <w:ind w:firstLine="699"/>
              <w:jc w:val="both"/>
            </w:pPr>
            <w:r w:rsidRPr="00B813DE">
              <w:rPr>
                <w:i/>
              </w:rPr>
              <w:t>У будівництві</w:t>
            </w:r>
            <w:r w:rsidRPr="00B813DE">
              <w:t xml:space="preserve"> сума боргу скоротилась до рівня на початок 2016 року в 2 рази або на 395,1 тис.грн. – всього заборговано 787,5 тис.грн. заробітної плати. На економічно активних будівельних підприємствах борги із заробітної плати відсутні, увесь обсяг боргів належить підприємствам, які перебувають у процедурі банкрутства.</w:t>
            </w:r>
          </w:p>
          <w:p w:rsidR="00C61054" w:rsidRPr="000B6CFB" w:rsidRDefault="00C61054" w:rsidP="00C61054">
            <w:pPr>
              <w:pStyle w:val="310"/>
              <w:ind w:firstLine="709"/>
              <w:rPr>
                <w:sz w:val="24"/>
              </w:rPr>
            </w:pPr>
            <w:r w:rsidRPr="000B6CFB">
              <w:rPr>
                <w:sz w:val="24"/>
              </w:rPr>
              <w:t>В розрізі адміністративно-територіальних одиниць ситуація наступна:</w:t>
            </w:r>
          </w:p>
          <w:p w:rsidR="00C61054" w:rsidRPr="000B6CFB" w:rsidRDefault="00C61054" w:rsidP="00C61054">
            <w:pPr>
              <w:pStyle w:val="310"/>
              <w:ind w:firstLine="709"/>
              <w:rPr>
                <w:sz w:val="24"/>
              </w:rPr>
            </w:pPr>
            <w:r w:rsidRPr="000B6CFB">
              <w:rPr>
                <w:sz w:val="24"/>
              </w:rPr>
              <w:t>Станом на 01.08.2016 року відсутня заборгованість із заробітної плати на підприємствах 13 районів: Бершадському, Гайсинському, Козятинському, Літинському, Немирівському, Оратівському, Піщанському, Погребищенському, Тиврівському, Томашпільському, Хмільницькому, Чернівецькому, Ямпільському.</w:t>
            </w:r>
          </w:p>
          <w:p w:rsidR="00C61054" w:rsidRPr="000B6CFB" w:rsidRDefault="00C61054" w:rsidP="00C61054">
            <w:pPr>
              <w:pStyle w:val="310"/>
              <w:ind w:firstLine="709"/>
              <w:rPr>
                <w:sz w:val="24"/>
              </w:rPr>
            </w:pPr>
            <w:r w:rsidRPr="000B6CFB">
              <w:rPr>
                <w:sz w:val="24"/>
              </w:rPr>
              <w:t xml:space="preserve">Протягом липня повністю погасили заборгованість із заробітної плати у  Бершадському, Немирівському, Погребищенському районах, </w:t>
            </w:r>
          </w:p>
          <w:p w:rsidR="00C61054" w:rsidRPr="000B6CFB" w:rsidRDefault="00C61054" w:rsidP="00C61054">
            <w:pPr>
              <w:pStyle w:val="310"/>
              <w:ind w:firstLine="709"/>
              <w:rPr>
                <w:sz w:val="24"/>
              </w:rPr>
            </w:pPr>
            <w:r w:rsidRPr="000B6CFB">
              <w:rPr>
                <w:sz w:val="24"/>
              </w:rPr>
              <w:t>Скоротили заборгованість із заробітної плати до 01.07.2016 року у 7 районах:</w:t>
            </w:r>
          </w:p>
          <w:p w:rsidR="00C61054" w:rsidRPr="000B6CFB" w:rsidRDefault="00C61054" w:rsidP="00C61054">
            <w:pPr>
              <w:pStyle w:val="310"/>
              <w:ind w:firstLine="709"/>
              <w:rPr>
                <w:sz w:val="24"/>
              </w:rPr>
            </w:pPr>
            <w:r w:rsidRPr="000B6CFB">
              <w:rPr>
                <w:bCs/>
                <w:sz w:val="24"/>
              </w:rPr>
              <w:t>- Липовецькому – на 552 тис.грн або у 48 разів (залишок 11,8 тис.грн.)</w:t>
            </w:r>
          </w:p>
          <w:p w:rsidR="00C61054" w:rsidRPr="000B6CFB" w:rsidRDefault="00C61054" w:rsidP="00C61054">
            <w:pPr>
              <w:pStyle w:val="310"/>
              <w:ind w:firstLine="709"/>
              <w:rPr>
                <w:sz w:val="24"/>
              </w:rPr>
            </w:pPr>
            <w:r w:rsidRPr="000B6CFB">
              <w:rPr>
                <w:sz w:val="24"/>
              </w:rPr>
              <w:t>- Теплицькому –</w:t>
            </w:r>
            <w:r w:rsidRPr="000B6CFB">
              <w:rPr>
                <w:bCs/>
                <w:sz w:val="24"/>
              </w:rPr>
              <w:t xml:space="preserve"> на 220,9 тис.грн. або на 29% (залишок 542 тис.грн.);</w:t>
            </w:r>
          </w:p>
          <w:p w:rsidR="00C61054" w:rsidRPr="000B6CFB" w:rsidRDefault="00C61054" w:rsidP="00C61054">
            <w:pPr>
              <w:pStyle w:val="310"/>
              <w:ind w:firstLine="709"/>
              <w:rPr>
                <w:bCs/>
                <w:sz w:val="24"/>
              </w:rPr>
            </w:pPr>
            <w:r w:rsidRPr="000B6CFB">
              <w:rPr>
                <w:sz w:val="24"/>
              </w:rPr>
              <w:t>- Калинівському –</w:t>
            </w:r>
            <w:r w:rsidRPr="000B6CFB">
              <w:rPr>
                <w:bCs/>
                <w:sz w:val="24"/>
              </w:rPr>
              <w:t xml:space="preserve"> на 64,4 тис.грн. або на 19% (залишок 273,9 тис.грн.);</w:t>
            </w:r>
          </w:p>
          <w:p w:rsidR="00C61054" w:rsidRPr="000B6CFB" w:rsidRDefault="00C61054" w:rsidP="00C61054">
            <w:pPr>
              <w:pStyle w:val="310"/>
              <w:ind w:firstLine="709"/>
              <w:rPr>
                <w:bCs/>
                <w:sz w:val="24"/>
              </w:rPr>
            </w:pPr>
            <w:r w:rsidRPr="000B6CFB">
              <w:rPr>
                <w:sz w:val="24"/>
              </w:rPr>
              <w:t>- Іллінецькому –</w:t>
            </w:r>
            <w:r w:rsidRPr="000B6CFB">
              <w:rPr>
                <w:bCs/>
                <w:sz w:val="24"/>
              </w:rPr>
              <w:t xml:space="preserve"> на 60,8 тис.грн. або на 14,1% (залишок 370,5 тис.грн.);</w:t>
            </w:r>
          </w:p>
          <w:p w:rsidR="00C61054" w:rsidRPr="000B6CFB" w:rsidRDefault="00C61054" w:rsidP="00C61054">
            <w:pPr>
              <w:pStyle w:val="310"/>
              <w:ind w:firstLine="709"/>
              <w:rPr>
                <w:sz w:val="24"/>
              </w:rPr>
            </w:pPr>
            <w:r w:rsidRPr="000B6CFB">
              <w:rPr>
                <w:bCs/>
                <w:sz w:val="24"/>
              </w:rPr>
              <w:lastRenderedPageBreak/>
              <w:t>- Вінницькому – на 22,2 тис.грн. або на 14,4% (залишок 68,7 тис.грн.);</w:t>
            </w:r>
          </w:p>
          <w:p w:rsidR="00C61054" w:rsidRPr="000B6CFB" w:rsidRDefault="00C61054" w:rsidP="00C61054">
            <w:pPr>
              <w:pStyle w:val="310"/>
              <w:ind w:firstLine="709"/>
              <w:rPr>
                <w:bCs/>
                <w:sz w:val="24"/>
              </w:rPr>
            </w:pPr>
            <w:r w:rsidRPr="000B6CFB">
              <w:rPr>
                <w:sz w:val="24"/>
              </w:rPr>
              <w:t>- Тульчинькому –</w:t>
            </w:r>
            <w:r w:rsidRPr="000B6CFB">
              <w:rPr>
                <w:bCs/>
                <w:sz w:val="24"/>
              </w:rPr>
              <w:t xml:space="preserve"> на 15 тис.грн. або 4,7% (залишок 300,9 тис.грн.);</w:t>
            </w:r>
          </w:p>
          <w:p w:rsidR="00C61054" w:rsidRPr="000B6CFB" w:rsidRDefault="00C61054" w:rsidP="00C61054">
            <w:pPr>
              <w:pStyle w:val="310"/>
              <w:ind w:firstLine="709"/>
              <w:rPr>
                <w:sz w:val="24"/>
              </w:rPr>
            </w:pPr>
            <w:r w:rsidRPr="000B6CFB">
              <w:rPr>
                <w:bCs/>
                <w:sz w:val="24"/>
              </w:rPr>
              <w:t>- Крижопільському – на 4,6 тис.грн. або на 2,6% (залишок 171,9 тис.грн.);</w:t>
            </w:r>
          </w:p>
          <w:p w:rsidR="00C61054" w:rsidRPr="000B6CFB" w:rsidRDefault="00C61054" w:rsidP="00C61054">
            <w:pPr>
              <w:pStyle w:val="310"/>
              <w:ind w:firstLine="709"/>
              <w:rPr>
                <w:bCs/>
                <w:sz w:val="24"/>
                <w:lang w:val="ru-RU"/>
              </w:rPr>
            </w:pPr>
            <w:r w:rsidRPr="000B6CFB">
              <w:rPr>
                <w:sz w:val="24"/>
              </w:rPr>
              <w:t xml:space="preserve">та </w:t>
            </w:r>
            <w:r w:rsidRPr="000B6CFB">
              <w:rPr>
                <w:bCs/>
                <w:sz w:val="24"/>
                <w:lang w:val="ru-RU"/>
              </w:rPr>
              <w:t>містахВінниця –</w:t>
            </w:r>
            <w:r w:rsidRPr="000B6CFB">
              <w:rPr>
                <w:bCs/>
                <w:sz w:val="24"/>
              </w:rPr>
              <w:t xml:space="preserve"> на </w:t>
            </w:r>
            <w:r w:rsidRPr="000B6CFB">
              <w:rPr>
                <w:bCs/>
                <w:sz w:val="24"/>
                <w:lang w:val="ru-RU"/>
              </w:rPr>
              <w:t>141,4</w:t>
            </w:r>
            <w:r w:rsidRPr="000B6CFB">
              <w:rPr>
                <w:bCs/>
                <w:sz w:val="24"/>
              </w:rPr>
              <w:t>тис.грн. або на 3,3% (залишок 4152,7 тис.грн.) та Козятин – на 92 тис.грн. або на 23,5% (залишок 299,3 тис.грн.)</w:t>
            </w:r>
            <w:r w:rsidRPr="000B6CFB">
              <w:rPr>
                <w:bCs/>
                <w:sz w:val="24"/>
                <w:lang w:val="ru-RU"/>
              </w:rPr>
              <w:t>.</w:t>
            </w:r>
          </w:p>
          <w:p w:rsidR="00C61054" w:rsidRPr="000B6CFB" w:rsidRDefault="00C61054" w:rsidP="00C61054">
            <w:pPr>
              <w:pStyle w:val="310"/>
              <w:ind w:firstLine="709"/>
              <w:rPr>
                <w:sz w:val="24"/>
              </w:rPr>
            </w:pPr>
            <w:r w:rsidRPr="000B6CFB">
              <w:rPr>
                <w:sz w:val="24"/>
              </w:rPr>
              <w:t>Найбільше наростили борги із заробітної плати протягом  липня 2016 року на підприємствах та установах Барського району – в 1,5 рази або на 83,4 тис.грн. (борг становить 244,8 тис.грн.), Мурованокуриловецького району – у 2,3 рази або на 58,7 тис.грн. (сума боргу складає 103,1 тис.грн.) та Тростянецького району – на 5,3% або на 56,8 тис.грн. (сума боргу складає 1120,8 тис.грн.).</w:t>
            </w:r>
          </w:p>
          <w:p w:rsidR="00C61054" w:rsidRPr="000B6CFB" w:rsidRDefault="00C61054" w:rsidP="00C61054">
            <w:pPr>
              <w:pStyle w:val="310"/>
              <w:ind w:firstLine="709"/>
              <w:rPr>
                <w:sz w:val="24"/>
              </w:rPr>
            </w:pPr>
            <w:r w:rsidRPr="000B6CFB">
              <w:rPr>
                <w:sz w:val="24"/>
              </w:rPr>
              <w:t>Утворено заборгованість із заробітної плати у Могилів-Подільському районі у сумі 56,5 тис.грн.</w:t>
            </w:r>
          </w:p>
          <w:p w:rsidR="00C61054" w:rsidRPr="000B6CFB" w:rsidRDefault="00C61054" w:rsidP="00C61054">
            <w:pPr>
              <w:pStyle w:val="310"/>
              <w:ind w:firstLine="709"/>
              <w:rPr>
                <w:sz w:val="24"/>
              </w:rPr>
            </w:pPr>
            <w:r w:rsidRPr="000B6CFB">
              <w:rPr>
                <w:sz w:val="24"/>
              </w:rPr>
              <w:t>Не змінилась сума заборгованості протягом липня 2016 року у Жмеринському районі (520,5 тис.грн.), Чечельницькому районі (110,5 тис.грн.), Шаргородському районі (140 тис.грн.) та у м.Могилів-Подільський (92,2 тис.грн.) і м.Ладижин (2158,3 тис.грн.).</w:t>
            </w:r>
          </w:p>
          <w:p w:rsidR="00C61054" w:rsidRPr="000B6CFB" w:rsidRDefault="00C61054" w:rsidP="00C61054">
            <w:pPr>
              <w:pStyle w:val="310"/>
              <w:tabs>
                <w:tab w:val="left" w:pos="709"/>
              </w:tabs>
              <w:ind w:firstLine="709"/>
              <w:rPr>
                <w:sz w:val="24"/>
              </w:rPr>
            </w:pPr>
            <w:r w:rsidRPr="000B6CFB">
              <w:rPr>
                <w:sz w:val="24"/>
              </w:rPr>
              <w:t>Найбільші суми боргу із заробітної плати станом на 01.08.2016 року серед районів:</w:t>
            </w:r>
          </w:p>
          <w:p w:rsidR="00C61054" w:rsidRPr="000B6CFB" w:rsidRDefault="00C61054" w:rsidP="00C61054">
            <w:pPr>
              <w:pStyle w:val="310"/>
              <w:tabs>
                <w:tab w:val="left" w:pos="709"/>
              </w:tabs>
              <w:ind w:firstLine="709"/>
              <w:rPr>
                <w:i/>
                <w:sz w:val="24"/>
              </w:rPr>
            </w:pPr>
            <w:r w:rsidRPr="000B6CFB">
              <w:rPr>
                <w:sz w:val="24"/>
              </w:rPr>
              <w:t>- у Тростянецькому – 1120,8 тис.грн</w:t>
            </w:r>
            <w:r w:rsidRPr="000B6CFB">
              <w:rPr>
                <w:i/>
                <w:sz w:val="24"/>
              </w:rPr>
              <w:t>. (протягом липня сума заборгованості із заробітної плати зросла на 5,3% або на 56,8 тис.грн.);</w:t>
            </w:r>
          </w:p>
          <w:p w:rsidR="00C61054" w:rsidRPr="000B6CFB" w:rsidRDefault="00C61054" w:rsidP="00C61054">
            <w:pPr>
              <w:pStyle w:val="310"/>
              <w:tabs>
                <w:tab w:val="left" w:pos="709"/>
              </w:tabs>
              <w:ind w:firstLine="709"/>
              <w:rPr>
                <w:sz w:val="24"/>
              </w:rPr>
            </w:pPr>
            <w:r w:rsidRPr="000B6CFB">
              <w:rPr>
                <w:sz w:val="24"/>
              </w:rPr>
              <w:t>- у Теплицькому – 542 тис.грн</w:t>
            </w:r>
            <w:r w:rsidRPr="000B6CFB">
              <w:rPr>
                <w:i/>
                <w:sz w:val="24"/>
              </w:rPr>
              <w:t>. (протягом липня сума заборгованості із заробітної плати зменшилась на 29% або на 220,9 тис.грн.);</w:t>
            </w:r>
          </w:p>
          <w:p w:rsidR="00C61054" w:rsidRPr="000B6CFB" w:rsidRDefault="00C61054" w:rsidP="00C61054">
            <w:pPr>
              <w:pStyle w:val="310"/>
              <w:tabs>
                <w:tab w:val="left" w:pos="709"/>
              </w:tabs>
              <w:ind w:firstLine="709"/>
              <w:rPr>
                <w:sz w:val="24"/>
              </w:rPr>
            </w:pPr>
            <w:r w:rsidRPr="000B6CFB">
              <w:rPr>
                <w:sz w:val="24"/>
              </w:rPr>
              <w:t>- у Жмеринському – 520,5 тис.грн. (</w:t>
            </w:r>
            <w:r w:rsidRPr="000B6CFB">
              <w:rPr>
                <w:i/>
                <w:sz w:val="24"/>
              </w:rPr>
              <w:t>протягом липня сума заборгованості із заробітної плати не змінилась</w:t>
            </w:r>
            <w:r w:rsidRPr="000B6CFB">
              <w:rPr>
                <w:sz w:val="24"/>
              </w:rPr>
              <w:t>).</w:t>
            </w:r>
          </w:p>
          <w:p w:rsidR="00C61054" w:rsidRPr="00EB0632" w:rsidRDefault="00C61054" w:rsidP="00EB0632">
            <w:pPr>
              <w:pStyle w:val="310"/>
              <w:tabs>
                <w:tab w:val="left" w:pos="709"/>
              </w:tabs>
              <w:ind w:firstLine="709"/>
              <w:rPr>
                <w:sz w:val="24"/>
              </w:rPr>
            </w:pPr>
            <w:r w:rsidRPr="000B6CFB">
              <w:rPr>
                <w:sz w:val="24"/>
              </w:rPr>
              <w:t>Серед міст обласного значення – у м.Вінниця борг складає 4152,7 тис.грн. (</w:t>
            </w:r>
            <w:r w:rsidRPr="000B6CFB">
              <w:rPr>
                <w:i/>
                <w:sz w:val="24"/>
              </w:rPr>
              <w:t xml:space="preserve">протягом липня заборгованість зменшилась на 141,4 тис.грн, або на 3,3%, її питома вага у загальній сумі боргу в цілому по області складає </w:t>
            </w:r>
            <w:r w:rsidRPr="000B6CFB">
              <w:rPr>
                <w:sz w:val="24"/>
              </w:rPr>
              <w:t>38,2%) та у м.Ладижин — 2158,3 тис.грн. (</w:t>
            </w:r>
            <w:r w:rsidRPr="000B6CFB">
              <w:rPr>
                <w:i/>
                <w:sz w:val="24"/>
              </w:rPr>
              <w:t>протягом липня заборгованість не змінилась, питома вага 19,8</w:t>
            </w:r>
            <w:r w:rsidRPr="000B6CFB">
              <w:rPr>
                <w:sz w:val="24"/>
              </w:rPr>
              <w:t>%).</w:t>
            </w:r>
          </w:p>
          <w:p w:rsidR="00C61054" w:rsidRPr="000B6CFB" w:rsidRDefault="00C61054" w:rsidP="00C61054">
            <w:pPr>
              <w:ind w:firstLine="709"/>
              <w:jc w:val="both"/>
            </w:pPr>
            <w:r w:rsidRPr="000B6CFB">
              <w:t xml:space="preserve">Станом на 1 серпня 2016 року відсутні борги на економічно активних підприємствах 22 районів, у м. Могилів-Подільському, м. Хмільник та м.Ладижин.    </w:t>
            </w:r>
          </w:p>
          <w:p w:rsidR="00C61054" w:rsidRPr="000B6CFB" w:rsidRDefault="00C61054" w:rsidP="00C61054">
            <w:pPr>
              <w:ind w:firstLine="709"/>
              <w:jc w:val="both"/>
            </w:pPr>
            <w:r w:rsidRPr="000B6CFB">
              <w:t xml:space="preserve">Всього станом 01.08.2016 року борг на економічно активних підприємствах є у 5 районах та 3 містах обласного значення, а саме у Барському, Вінницькому, Іллінецькому, Мурованокуриловецькому, та Тульчинському районах, а також 3 містах обласного значення (м. Вінниця, м.Жмеринка та м.Козятин).  </w:t>
            </w:r>
          </w:p>
          <w:p w:rsidR="00C90834" w:rsidRPr="000B6CFB" w:rsidRDefault="00C61054" w:rsidP="00AF5918">
            <w:pPr>
              <w:pStyle w:val="310"/>
              <w:ind w:firstLine="709"/>
              <w:rPr>
                <w:rFonts w:cs="Times New Roman"/>
                <w:sz w:val="24"/>
              </w:rPr>
            </w:pPr>
            <w:r w:rsidRPr="000B6CFB">
              <w:rPr>
                <w:sz w:val="24"/>
              </w:rPr>
              <w:t xml:space="preserve">Заборгованість із заробітної плати </w:t>
            </w:r>
            <w:r w:rsidRPr="000B6CFB">
              <w:rPr>
                <w:sz w:val="24"/>
                <w:u w:val="single"/>
              </w:rPr>
              <w:t>працівникам сільського господарства станом на 01.08.2016 р.</w:t>
            </w:r>
            <w:r w:rsidRPr="000B6CFB">
              <w:rPr>
                <w:sz w:val="24"/>
              </w:rPr>
              <w:t xml:space="preserve"> залишається непогашеною у Барському районі </w:t>
            </w:r>
            <w:r w:rsidRPr="000B6CFB">
              <w:rPr>
                <w:i/>
                <w:sz w:val="24"/>
              </w:rPr>
              <w:t>(підприємство-банкрут – 25,9 тис.грн.).</w:t>
            </w:r>
          </w:p>
        </w:tc>
      </w:tr>
      <w:tr w:rsidR="00EE6E44" w:rsidRPr="000B6CFB" w:rsidTr="00EB0632">
        <w:trPr>
          <w:trHeight w:val="100"/>
        </w:trPr>
        <w:tc>
          <w:tcPr>
            <w:tcW w:w="10774" w:type="dxa"/>
            <w:gridSpan w:val="3"/>
            <w:tcBorders>
              <w:left w:val="nil"/>
              <w:bottom w:val="single" w:sz="4" w:space="0" w:color="auto"/>
              <w:right w:val="nil"/>
            </w:tcBorders>
            <w:shd w:val="clear" w:color="auto" w:fill="auto"/>
          </w:tcPr>
          <w:p w:rsidR="00EB0632" w:rsidRPr="000B6CFB" w:rsidRDefault="00EB0632" w:rsidP="00C61054">
            <w:pPr>
              <w:rPr>
                <w:b/>
                <w:iCs/>
              </w:rPr>
            </w:pPr>
          </w:p>
          <w:p w:rsidR="00EE6E44" w:rsidRPr="000B6CFB" w:rsidRDefault="00EE6E44" w:rsidP="00CB796B">
            <w:pPr>
              <w:ind w:firstLine="459"/>
              <w:jc w:val="center"/>
              <w:rPr>
                <w:lang w:val="en-US"/>
              </w:rPr>
            </w:pPr>
            <w:r w:rsidRPr="000B6CFB">
              <w:rPr>
                <w:b/>
                <w:iCs/>
              </w:rPr>
              <w:t>РОЗРАХУНКИ ЗА ЕНЕРГОНОСІЇ</w:t>
            </w:r>
          </w:p>
        </w:tc>
      </w:tr>
      <w:tr w:rsidR="00EB0632" w:rsidRPr="000B6CFB" w:rsidTr="00EB0632">
        <w:trPr>
          <w:trHeight w:val="100"/>
        </w:trPr>
        <w:tc>
          <w:tcPr>
            <w:tcW w:w="1695" w:type="dxa"/>
            <w:tcBorders>
              <w:left w:val="single" w:sz="4" w:space="0" w:color="auto"/>
              <w:right w:val="single" w:sz="4" w:space="0" w:color="auto"/>
            </w:tcBorders>
            <w:shd w:val="clear" w:color="auto" w:fill="auto"/>
          </w:tcPr>
          <w:p w:rsidR="00EB0632" w:rsidRPr="000B6CFB" w:rsidRDefault="00EB0632" w:rsidP="00C61054">
            <w:pPr>
              <w:rPr>
                <w:b/>
                <w:iCs/>
              </w:rPr>
            </w:pPr>
            <w:r w:rsidRPr="000B6CFB">
              <w:rPr>
                <w:b/>
                <w:i/>
                <w:iCs/>
              </w:rPr>
              <w:t>Розрахунки за електро-енергію</w:t>
            </w:r>
          </w:p>
        </w:tc>
        <w:tc>
          <w:tcPr>
            <w:tcW w:w="9079" w:type="dxa"/>
            <w:gridSpan w:val="2"/>
            <w:tcBorders>
              <w:left w:val="single" w:sz="4" w:space="0" w:color="auto"/>
              <w:right w:val="single" w:sz="4" w:space="0" w:color="auto"/>
            </w:tcBorders>
            <w:shd w:val="clear" w:color="auto" w:fill="auto"/>
          </w:tcPr>
          <w:p w:rsidR="00EB0632" w:rsidRPr="000B6CFB" w:rsidRDefault="00EB0632" w:rsidP="00EB0632">
            <w:pPr>
              <w:suppressAutoHyphens/>
              <w:snapToGrid w:val="0"/>
              <w:ind w:firstLine="709"/>
              <w:jc w:val="both"/>
              <w:rPr>
                <w:bCs/>
                <w:iCs/>
              </w:rPr>
            </w:pPr>
            <w:r w:rsidRPr="000B6CFB">
              <w:rPr>
                <w:bCs/>
                <w:iCs/>
              </w:rPr>
              <w:t>Рівень оплати за електроенергію споживачами області при нормативних втратах електроенергії за січень-липень 2016 року склав 103,5%, за відповідний період 2015 року цей показник становив 102,6%. Заборгованість за електроенергію за січень-липень 2016 року збільшилась на 27,6 млн.грн або на 31,2% і станом на 1 серпня 2016 року з урахуванням боргів минулих років становить 116,1 млн.грн. При рівні оплати 100% і вище борг може зростати за рахунок того, що фактичні втрати в електромережах вищі за нормативні.</w:t>
            </w:r>
          </w:p>
          <w:p w:rsidR="00EB0632" w:rsidRPr="000B6CFB" w:rsidRDefault="00EB0632" w:rsidP="00EB0632">
            <w:pPr>
              <w:suppressAutoHyphens/>
              <w:snapToGrid w:val="0"/>
              <w:ind w:firstLine="709"/>
              <w:jc w:val="both"/>
              <w:rPr>
                <w:bCs/>
                <w:iCs/>
              </w:rPr>
            </w:pPr>
            <w:r w:rsidRPr="000B6CFB">
              <w:rPr>
                <w:bCs/>
                <w:iCs/>
              </w:rPr>
              <w:t>При цьому:</w:t>
            </w:r>
          </w:p>
          <w:p w:rsidR="00EB0632" w:rsidRPr="000B6CFB" w:rsidRDefault="00EB0632" w:rsidP="00EB0632">
            <w:pPr>
              <w:numPr>
                <w:ilvl w:val="0"/>
                <w:numId w:val="4"/>
              </w:numPr>
              <w:tabs>
                <w:tab w:val="num" w:pos="317"/>
              </w:tabs>
              <w:suppressAutoHyphens/>
              <w:snapToGrid w:val="0"/>
              <w:ind w:left="0" w:firstLine="709"/>
              <w:jc w:val="both"/>
              <w:rPr>
                <w:bCs/>
                <w:iCs/>
              </w:rPr>
            </w:pPr>
            <w:r w:rsidRPr="000B6CFB">
              <w:rPr>
                <w:bCs/>
                <w:iCs/>
              </w:rPr>
              <w:t>заборгованість установ, що фінансуються з державного бюджету з початку року збільшилась майже на 2,3 млн.грн (в 2 рази), борг станом на 01.08.2016 р. становить 4,5 млн.грн;</w:t>
            </w:r>
          </w:p>
          <w:p w:rsidR="00EB0632" w:rsidRPr="000B6CFB" w:rsidRDefault="00EB0632" w:rsidP="00EB0632">
            <w:pPr>
              <w:numPr>
                <w:ilvl w:val="0"/>
                <w:numId w:val="4"/>
              </w:numPr>
              <w:suppressAutoHyphens/>
              <w:snapToGrid w:val="0"/>
              <w:ind w:left="0" w:firstLine="709"/>
              <w:jc w:val="both"/>
              <w:rPr>
                <w:bCs/>
                <w:iCs/>
              </w:rPr>
            </w:pPr>
            <w:r w:rsidRPr="000B6CFB">
              <w:rPr>
                <w:bCs/>
                <w:iCs/>
              </w:rPr>
              <w:t>заборгованість установ, що фінансуються з місцевого бюджету збільшилась з початку року майже на 0,4 млн.грн (в 2,7 рази), борг станом на 01.08.2016 р. становить 0,6 млн.грн;</w:t>
            </w:r>
          </w:p>
          <w:p w:rsidR="00EB0632" w:rsidRPr="000B6CFB" w:rsidRDefault="00EB0632" w:rsidP="00EB0632">
            <w:pPr>
              <w:numPr>
                <w:ilvl w:val="0"/>
                <w:numId w:val="4"/>
              </w:numPr>
              <w:suppressAutoHyphens/>
              <w:snapToGrid w:val="0"/>
              <w:ind w:left="0" w:firstLine="709"/>
              <w:jc w:val="both"/>
              <w:rPr>
                <w:bCs/>
                <w:iCs/>
              </w:rPr>
            </w:pPr>
            <w:r w:rsidRPr="000B6CFB">
              <w:rPr>
                <w:bCs/>
                <w:iCs/>
              </w:rPr>
              <w:t xml:space="preserve">заборгованість бюджетів по субсидіях та пільгах населенню порівняно з </w:t>
            </w:r>
            <w:r w:rsidRPr="000B6CFB">
              <w:rPr>
                <w:bCs/>
                <w:iCs/>
              </w:rPr>
              <w:lastRenderedPageBreak/>
              <w:t>початком 2016 року зменшилась на 8,5 млн.грн (на 36,7%) – борг станом на 01.08.2016 р. становить 14,7 млн.грн.</w:t>
            </w:r>
          </w:p>
          <w:p w:rsidR="00EB0632" w:rsidRPr="000B6CFB" w:rsidRDefault="00EB0632" w:rsidP="00C61054">
            <w:pPr>
              <w:rPr>
                <w:b/>
                <w:iCs/>
              </w:rPr>
            </w:pPr>
            <w:r w:rsidRPr="000B6CFB">
              <w:rPr>
                <w:bCs/>
                <w:iCs/>
              </w:rPr>
              <w:t>В усіх районах області рівень оплати за січень-липень 2016 року при нормативних втратах склався вище 100%. Найвищий рівень оплати в наступних районах: Бершадському (114,6%), Погребищенському (111,0%) та Мурованокуриловецькому (109,2%). Найнижчий рівень оплати в Вінницькому (100,9%), Піщанському (101,7%) та Жмеринському (101,8%) районах.</w:t>
            </w:r>
          </w:p>
        </w:tc>
      </w:tr>
      <w:tr w:rsidR="001116C3" w:rsidRPr="000B6CFB" w:rsidTr="00EB0632">
        <w:trPr>
          <w:trHeight w:val="2066"/>
        </w:trPr>
        <w:tc>
          <w:tcPr>
            <w:tcW w:w="1702" w:type="dxa"/>
            <w:gridSpan w:val="2"/>
            <w:shd w:val="clear" w:color="auto" w:fill="auto"/>
          </w:tcPr>
          <w:p w:rsidR="001116C3" w:rsidRPr="000B6CFB" w:rsidRDefault="001116C3" w:rsidP="00CB796B">
            <w:pPr>
              <w:pStyle w:val="22"/>
              <w:snapToGrid w:val="0"/>
              <w:ind w:firstLine="0"/>
              <w:rPr>
                <w:b/>
                <w:i/>
                <w:iCs/>
                <w:sz w:val="24"/>
              </w:rPr>
            </w:pPr>
            <w:r w:rsidRPr="000B6CFB">
              <w:rPr>
                <w:b/>
                <w:i/>
                <w:iCs/>
                <w:sz w:val="24"/>
              </w:rPr>
              <w:lastRenderedPageBreak/>
              <w:t>Розрахунки за природний газ</w:t>
            </w:r>
          </w:p>
          <w:p w:rsidR="001116C3" w:rsidRPr="000B6CFB" w:rsidRDefault="001116C3" w:rsidP="00CB796B">
            <w:pPr>
              <w:pStyle w:val="310"/>
              <w:snapToGrid w:val="0"/>
              <w:jc w:val="left"/>
              <w:rPr>
                <w:rFonts w:cs="Times New Roman"/>
                <w:b/>
                <w:i/>
                <w:iCs/>
                <w:sz w:val="24"/>
              </w:rPr>
            </w:pPr>
          </w:p>
        </w:tc>
        <w:tc>
          <w:tcPr>
            <w:tcW w:w="9072" w:type="dxa"/>
            <w:shd w:val="clear" w:color="auto" w:fill="FFFFFF" w:themeFill="background1"/>
          </w:tcPr>
          <w:p w:rsidR="00095901" w:rsidRPr="000B6CFB" w:rsidRDefault="006C0466" w:rsidP="007C162F">
            <w:pPr>
              <w:suppressAutoHyphens/>
              <w:ind w:firstLine="709"/>
              <w:jc w:val="both"/>
            </w:pPr>
            <w:r w:rsidRPr="000B6CFB">
              <w:rPr>
                <w:bCs/>
                <w:iCs/>
              </w:rPr>
              <w:t xml:space="preserve">Рівень оплати за природний газ </w:t>
            </w:r>
            <w:r w:rsidRPr="000B6CFB">
              <w:t xml:space="preserve">населенням та бюджетними установами області за січень-липень 2016 року перед ПАТ «Вінницягаз збут» склав 36,1%, а загальна заборгованість, </w:t>
            </w:r>
            <w:r w:rsidRPr="000B6CFB">
              <w:rPr>
                <w:bCs/>
              </w:rPr>
              <w:t>з урахуванням боргів минулих періодів,</w:t>
            </w:r>
            <w:r w:rsidRPr="000B6CFB">
              <w:t xml:space="preserve"> становить 767,3 </w:t>
            </w:r>
            <w:r w:rsidRPr="000B6CFB">
              <w:rPr>
                <w:bCs/>
              </w:rPr>
              <w:t>млн.грн. в тому числі: перед ПАТ «Вінницягаз» (з липня 2015 року не реалізовує природний газ) - 52,7 млн. грн. та перед ТОВ «Вінницягаз збут» (створеним в липні 2015 року) 714</w:t>
            </w:r>
            <w:r w:rsidRPr="000B6CFB">
              <w:t xml:space="preserve">,6 </w:t>
            </w:r>
            <w:r w:rsidRPr="000B6CFB">
              <w:rPr>
                <w:bCs/>
              </w:rPr>
              <w:t>млн. грн. Таким чином, в порівнянні з відповідним періодом минулого року загальна заборгованість різних категорій споживачів зросла в 7 раз.</w:t>
            </w:r>
          </w:p>
        </w:tc>
      </w:tr>
      <w:tr w:rsidR="001116C3" w:rsidRPr="000B6CFB" w:rsidTr="00EB0632">
        <w:trPr>
          <w:trHeight w:val="100"/>
        </w:trPr>
        <w:tc>
          <w:tcPr>
            <w:tcW w:w="1702" w:type="dxa"/>
            <w:gridSpan w:val="2"/>
            <w:tcBorders>
              <w:bottom w:val="single" w:sz="4" w:space="0" w:color="auto"/>
            </w:tcBorders>
            <w:shd w:val="clear" w:color="auto" w:fill="auto"/>
          </w:tcPr>
          <w:p w:rsidR="001116C3" w:rsidRPr="000B6CFB" w:rsidRDefault="001116C3" w:rsidP="00CB796B">
            <w:pPr>
              <w:pStyle w:val="22"/>
              <w:snapToGrid w:val="0"/>
              <w:ind w:firstLine="0"/>
              <w:rPr>
                <w:b/>
                <w:i/>
                <w:iCs/>
                <w:sz w:val="24"/>
              </w:rPr>
            </w:pPr>
            <w:r w:rsidRPr="000B6CFB">
              <w:rPr>
                <w:b/>
                <w:i/>
                <w:iCs/>
                <w:sz w:val="24"/>
              </w:rPr>
              <w:t>Розрахунки за житлово-комунальні послуги</w:t>
            </w:r>
          </w:p>
        </w:tc>
        <w:tc>
          <w:tcPr>
            <w:tcW w:w="9072" w:type="dxa"/>
            <w:tcBorders>
              <w:bottom w:val="single" w:sz="4" w:space="0" w:color="auto"/>
            </w:tcBorders>
            <w:shd w:val="clear" w:color="auto" w:fill="auto"/>
          </w:tcPr>
          <w:p w:rsidR="006C0466" w:rsidRPr="000B6CFB" w:rsidRDefault="006C0466" w:rsidP="006C0466">
            <w:pPr>
              <w:suppressAutoHyphens/>
              <w:ind w:firstLine="709"/>
              <w:jc w:val="both"/>
            </w:pPr>
            <w:r w:rsidRPr="000B6CFB">
              <w:rPr>
                <w:b/>
                <w:i/>
              </w:rPr>
              <w:t>Рівень оплати за житлово-комунальні послуги</w:t>
            </w:r>
            <w:r w:rsidRPr="000B6CFB">
              <w:t xml:space="preserve"> населенням області за січень-липень 2016 року становить 136,5%, за відповідний період минулого року рівень оплати становив 100,1%. Переплата за житлово-комунальні послуги складає 263,7 млн. грн.</w:t>
            </w:r>
          </w:p>
          <w:p w:rsidR="006C0466" w:rsidRPr="000B6CFB" w:rsidRDefault="006C0466" w:rsidP="006C0466">
            <w:pPr>
              <w:suppressAutoHyphens/>
              <w:ind w:firstLine="709"/>
              <w:jc w:val="both"/>
            </w:pPr>
            <w:r w:rsidRPr="000B6CFB">
              <w:t>Рівень оплати нижче 100% за житлово-комунальні послуги станом на 01.08.2016  року склався у 5 районах області.</w:t>
            </w:r>
          </w:p>
          <w:p w:rsidR="001116C3" w:rsidRPr="000B6CFB" w:rsidRDefault="006C0466" w:rsidP="006C0466">
            <w:pPr>
              <w:suppressAutoHyphens/>
              <w:ind w:firstLine="459"/>
              <w:jc w:val="both"/>
            </w:pPr>
            <w:r w:rsidRPr="000B6CFB">
              <w:t>При цьому серед районів та міст обласного значення найнижчий рівень оплати спостерігається в: Немирівському (51,8%)</w:t>
            </w:r>
            <w:r w:rsidRPr="000B6CFB">
              <w:rPr>
                <w:lang w:val="ru-RU"/>
              </w:rPr>
              <w:t>,</w:t>
            </w:r>
            <w:r w:rsidRPr="000B6CFB">
              <w:t xml:space="preserve"> Ямпільському (96,7%) та Крижопільському</w:t>
            </w:r>
            <w:r w:rsidRPr="000B6CFB">
              <w:rPr>
                <w:lang w:val="ru-RU"/>
              </w:rPr>
              <w:t xml:space="preserve"> (98,1%)</w:t>
            </w:r>
            <w:r w:rsidRPr="000B6CFB">
              <w:t xml:space="preserve"> районах.</w:t>
            </w:r>
          </w:p>
        </w:tc>
      </w:tr>
      <w:tr w:rsidR="00260820" w:rsidRPr="000B6CFB" w:rsidTr="00EB0632">
        <w:trPr>
          <w:trHeight w:val="100"/>
        </w:trPr>
        <w:tc>
          <w:tcPr>
            <w:tcW w:w="1702" w:type="dxa"/>
            <w:gridSpan w:val="2"/>
            <w:tcBorders>
              <w:bottom w:val="single" w:sz="4" w:space="0" w:color="auto"/>
            </w:tcBorders>
            <w:shd w:val="clear" w:color="auto" w:fill="auto"/>
          </w:tcPr>
          <w:p w:rsidR="00260820" w:rsidRPr="000B6CFB" w:rsidRDefault="00260820" w:rsidP="00CB796B">
            <w:pPr>
              <w:pStyle w:val="22"/>
              <w:snapToGrid w:val="0"/>
              <w:ind w:firstLine="0"/>
              <w:rPr>
                <w:b/>
                <w:i/>
                <w:iCs/>
                <w:sz w:val="24"/>
              </w:rPr>
            </w:pPr>
            <w:r w:rsidRPr="000B6CFB">
              <w:rPr>
                <w:b/>
                <w:i/>
                <w:iCs/>
                <w:sz w:val="24"/>
              </w:rPr>
              <w:t>Цінові процеси на споживчому ринку області у травні 2016 року</w:t>
            </w:r>
          </w:p>
        </w:tc>
        <w:tc>
          <w:tcPr>
            <w:tcW w:w="9072" w:type="dxa"/>
            <w:tcBorders>
              <w:bottom w:val="single" w:sz="4" w:space="0" w:color="auto"/>
            </w:tcBorders>
            <w:shd w:val="clear" w:color="auto" w:fill="auto"/>
          </w:tcPr>
          <w:p w:rsidR="006C0466" w:rsidRPr="000B6CFB" w:rsidRDefault="006C0466" w:rsidP="006C0466">
            <w:pPr>
              <w:ind w:firstLine="742"/>
              <w:jc w:val="both"/>
            </w:pPr>
            <w:r w:rsidRPr="000B6CFB">
              <w:t>У Вінницькій області середня ціна на більшість соціально значущих товарів є нижчою, ніж в середньому по Україні. Так, із проаналізованих 25 товарів, станом на початок серпня 2016 року, середні ціни в області по 19 найменуванням є меншими, ніж середні по Україні. Зокрема, по таких продуктах харчування як свинина, яловичина, хліб житній, житньо-пшеничний, сметана жирністю 15% та сало середні роздрібні ціни в області є набагато нижчими, ніж в середньому по Україні: на 3,05 грн/кг, 2,62 грн/кг, 1,00 грн/кг, 1,00 грн/кг та 0,80 грн/кг відповідно. Виключенням є лише рис, птиця (тушки курячі), макаронні вироби, масло вершкове жирністю 72-73%, сир м’який жирністю 9% та яйця І-ІІ категорії. Різниця в роздрібних цінах по Україні та Вінницькій області на вказані продукти харчування становить від 0,02 до 2,18 грн/кг (грн/дес.).</w:t>
            </w:r>
          </w:p>
          <w:p w:rsidR="00260820" w:rsidRPr="000B6CFB" w:rsidRDefault="006C0466" w:rsidP="006C0466">
            <w:pPr>
              <w:suppressAutoHyphens/>
              <w:ind w:firstLine="742"/>
              <w:jc w:val="both"/>
              <w:rPr>
                <w:b/>
                <w:i/>
              </w:rPr>
            </w:pPr>
            <w:r w:rsidRPr="000B6CFB">
              <w:t>Реальна цінова ситуація характеризується індексом споживчих цін, який по Вінницькій області у липні 2016 року по відношенню до грудня 2015 року становив 104,5%, по Україні – 104,8%, у липні до червня 2016 року даний показник по Вінницькій області та по Україні склав 99,9%. Серед регіонів України по показнику «Індекс споживчих цін» за липень 2016 року до грудня 2015 року Вінницька область зайняла 7 місце, до червня – 11 місце.</w:t>
            </w:r>
          </w:p>
        </w:tc>
      </w:tr>
      <w:tr w:rsidR="001116C3" w:rsidRPr="000B6CFB" w:rsidTr="00EB0632">
        <w:trPr>
          <w:trHeight w:val="100"/>
        </w:trPr>
        <w:tc>
          <w:tcPr>
            <w:tcW w:w="10774" w:type="dxa"/>
            <w:gridSpan w:val="3"/>
            <w:tcBorders>
              <w:left w:val="nil"/>
              <w:right w:val="nil"/>
            </w:tcBorders>
            <w:shd w:val="clear" w:color="auto" w:fill="auto"/>
          </w:tcPr>
          <w:p w:rsidR="008F3E50" w:rsidRPr="000B6CFB" w:rsidRDefault="008F3E50" w:rsidP="00CB796B">
            <w:pPr>
              <w:suppressAutoHyphens/>
              <w:ind w:firstLine="459"/>
              <w:jc w:val="center"/>
              <w:rPr>
                <w:b/>
              </w:rPr>
            </w:pPr>
          </w:p>
          <w:p w:rsidR="001116C3" w:rsidRPr="000B6CFB" w:rsidRDefault="001116C3" w:rsidP="00CB796B">
            <w:pPr>
              <w:suppressAutoHyphens/>
              <w:ind w:firstLine="459"/>
              <w:jc w:val="center"/>
              <w:rPr>
                <w:b/>
                <w:i/>
              </w:rPr>
            </w:pPr>
            <w:r w:rsidRPr="000B6CFB">
              <w:rPr>
                <w:b/>
              </w:rPr>
              <w:t>ТОРГІВЛЯ ТА СФЕРА ПОСЛУГ</w:t>
            </w:r>
          </w:p>
        </w:tc>
      </w:tr>
      <w:tr w:rsidR="001116C3" w:rsidRPr="000B6CFB" w:rsidTr="00EB0632">
        <w:trPr>
          <w:trHeight w:val="100"/>
        </w:trPr>
        <w:tc>
          <w:tcPr>
            <w:tcW w:w="1702" w:type="dxa"/>
            <w:gridSpan w:val="2"/>
            <w:shd w:val="clear" w:color="auto" w:fill="auto"/>
          </w:tcPr>
          <w:p w:rsidR="001116C3" w:rsidRPr="000B6CFB" w:rsidRDefault="001116C3" w:rsidP="00CB796B">
            <w:pPr>
              <w:pStyle w:val="32"/>
              <w:snapToGrid w:val="0"/>
              <w:spacing w:after="0"/>
              <w:jc w:val="both"/>
              <w:rPr>
                <w:b/>
                <w:i/>
                <w:iCs/>
                <w:sz w:val="24"/>
                <w:szCs w:val="24"/>
              </w:rPr>
            </w:pPr>
            <w:r w:rsidRPr="000B6CFB">
              <w:rPr>
                <w:b/>
                <w:i/>
                <w:iCs/>
                <w:sz w:val="24"/>
                <w:szCs w:val="24"/>
              </w:rPr>
              <w:t>Товарооборот області</w:t>
            </w:r>
          </w:p>
        </w:tc>
        <w:tc>
          <w:tcPr>
            <w:tcW w:w="9072" w:type="dxa"/>
            <w:shd w:val="clear" w:color="auto" w:fill="auto"/>
          </w:tcPr>
          <w:p w:rsidR="00584EE2" w:rsidRPr="000B6CFB" w:rsidRDefault="00584EE2" w:rsidP="00584EE2">
            <w:pPr>
              <w:suppressAutoHyphens/>
              <w:ind w:firstLine="709"/>
              <w:jc w:val="both"/>
            </w:pPr>
            <w:r w:rsidRPr="000B6CFB">
              <w:t>За даними Головного управління статистики у Вінницькій області оборот роздрібної торгівлі області за січень-липень 2016 року склав - 19 340,0 млн.  гривень, що більше в порівняних цінах до відповідного періоду минулого року на 2,4 % (по Україні  збільшився  на  2,4%).</w:t>
            </w:r>
          </w:p>
          <w:p w:rsidR="00584EE2" w:rsidRPr="000B6CFB" w:rsidRDefault="00584EE2" w:rsidP="00584EE2">
            <w:pPr>
              <w:suppressAutoHyphens/>
              <w:ind w:firstLine="709"/>
              <w:jc w:val="both"/>
            </w:pPr>
            <w:r w:rsidRPr="000B6CFB">
              <w:t>За темпами зростання обороту роздрібної торгівлі за січень-липень поточного року область займає  12  місце серед регіонів України.</w:t>
            </w:r>
          </w:p>
          <w:p w:rsidR="00584EE2" w:rsidRPr="000B6CFB" w:rsidRDefault="00584EE2" w:rsidP="00584EE2">
            <w:pPr>
              <w:suppressAutoHyphens/>
              <w:ind w:firstLine="709"/>
              <w:jc w:val="both"/>
            </w:pPr>
            <w:r w:rsidRPr="007A72AD">
              <w:t xml:space="preserve">Обсяг послуг, реалізованих споживачам підприємствами сфери послуг Вінницької області за </w:t>
            </w:r>
            <w:r w:rsidR="007A72AD" w:rsidRPr="007A72AD">
              <w:t>6місяців</w:t>
            </w:r>
            <w:r w:rsidRPr="007A72AD">
              <w:t xml:space="preserve"> 2016 </w:t>
            </w:r>
            <w:r w:rsidRPr="00AD5BD3">
              <w:t xml:space="preserve">року становив </w:t>
            </w:r>
            <w:r w:rsidR="007A72AD" w:rsidRPr="00AD5BD3">
              <w:t>3</w:t>
            </w:r>
            <w:r w:rsidRPr="00AD5BD3">
              <w:t>2</w:t>
            </w:r>
            <w:r w:rsidR="007A72AD" w:rsidRPr="00AD5BD3">
              <w:t>43</w:t>
            </w:r>
            <w:r w:rsidRPr="00AD5BD3">
              <w:t>,</w:t>
            </w:r>
            <w:r w:rsidR="007A72AD" w:rsidRPr="00AD5BD3">
              <w:t>8</w:t>
            </w:r>
            <w:r w:rsidRPr="00AD5BD3">
              <w:t xml:space="preserve"> млн. грн., в тому числі обсяг послуг, реалізованих населенню – </w:t>
            </w:r>
            <w:r w:rsidR="00AD5BD3" w:rsidRPr="00AD5BD3">
              <w:t>1290,3млн</w:t>
            </w:r>
            <w:r w:rsidRPr="00AD5BD3">
              <w:t xml:space="preserve">. грн., що становить - </w:t>
            </w:r>
            <w:r w:rsidR="00AD5BD3" w:rsidRPr="00AD5BD3">
              <w:t>39</w:t>
            </w:r>
            <w:r w:rsidRPr="00AD5BD3">
              <w:t>,</w:t>
            </w:r>
            <w:r w:rsidR="00AD5BD3" w:rsidRPr="00AD5BD3">
              <w:t>8</w:t>
            </w:r>
            <w:r w:rsidRPr="00AD5BD3">
              <w:t>%  від загальних обсягів послуг.</w:t>
            </w:r>
          </w:p>
          <w:p w:rsidR="001116C3" w:rsidRPr="000B6CFB" w:rsidRDefault="001116C3" w:rsidP="00D27081">
            <w:pPr>
              <w:suppressAutoHyphens/>
              <w:ind w:firstLine="459"/>
              <w:jc w:val="both"/>
            </w:pPr>
          </w:p>
        </w:tc>
      </w:tr>
    </w:tbl>
    <w:p w:rsidR="00C573CC" w:rsidRPr="000B6CFB" w:rsidRDefault="00C573CC" w:rsidP="00EC4DCF">
      <w:pPr>
        <w:pStyle w:val="32"/>
        <w:spacing w:after="0"/>
        <w:jc w:val="right"/>
        <w:rPr>
          <w:b/>
          <w:i/>
          <w:sz w:val="24"/>
          <w:szCs w:val="24"/>
          <w:u w:val="single"/>
        </w:rPr>
      </w:pPr>
      <w:r w:rsidRPr="000B6CFB">
        <w:rPr>
          <w:b/>
          <w:i/>
          <w:sz w:val="24"/>
          <w:szCs w:val="24"/>
          <w:u w:val="single"/>
        </w:rPr>
        <w:t xml:space="preserve">Питання, які відносяться до компетенції </w:t>
      </w:r>
    </w:p>
    <w:p w:rsidR="00B046B4" w:rsidRPr="00523079" w:rsidRDefault="00C573CC" w:rsidP="00EC4DCF">
      <w:pPr>
        <w:pStyle w:val="32"/>
        <w:spacing w:after="0"/>
        <w:jc w:val="right"/>
        <w:rPr>
          <w:b/>
          <w:i/>
          <w:sz w:val="24"/>
          <w:szCs w:val="24"/>
          <w:u w:val="single"/>
          <w:lang w:val="ru-RU"/>
        </w:rPr>
      </w:pPr>
      <w:r w:rsidRPr="000B6CFB">
        <w:rPr>
          <w:b/>
          <w:i/>
          <w:sz w:val="24"/>
          <w:szCs w:val="24"/>
          <w:u w:val="single"/>
        </w:rPr>
        <w:t xml:space="preserve">Департаменту </w:t>
      </w:r>
      <w:r w:rsidR="0079619A" w:rsidRPr="000B6CFB">
        <w:rPr>
          <w:b/>
          <w:i/>
          <w:sz w:val="24"/>
          <w:szCs w:val="24"/>
          <w:u w:val="single"/>
        </w:rPr>
        <w:t xml:space="preserve">міжнародного співробітництва та </w:t>
      </w:r>
      <w:r w:rsidRPr="000B6CFB">
        <w:rPr>
          <w:b/>
          <w:i/>
          <w:sz w:val="24"/>
          <w:szCs w:val="24"/>
          <w:u w:val="single"/>
        </w:rPr>
        <w:t>регіонал</w:t>
      </w:r>
      <w:r w:rsidRPr="00EC4DCF">
        <w:rPr>
          <w:b/>
          <w:i/>
          <w:sz w:val="24"/>
          <w:szCs w:val="24"/>
          <w:u w:val="single"/>
        </w:rPr>
        <w:t>ьного розвитку ОДА</w:t>
      </w:r>
    </w:p>
    <w:sectPr w:rsidR="00B046B4" w:rsidRPr="00523079" w:rsidSect="00E27E46">
      <w:footerReference w:type="even" r:id="rId9"/>
      <w:footerReference w:type="default" r:id="rId10"/>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7B4" w:rsidRDefault="001F37B4">
      <w:r>
        <w:separator/>
      </w:r>
    </w:p>
  </w:endnote>
  <w:endnote w:type="continuationSeparator" w:id="0">
    <w:p w:rsidR="001F37B4" w:rsidRDefault="001F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DejaVu Sans">
    <w:altName w:val="MS Mincho"/>
    <w:charset w:val="80"/>
    <w:family w:val="auto"/>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7B4" w:rsidRDefault="001B3943" w:rsidP="00DF2532">
    <w:pPr>
      <w:pStyle w:val="afc"/>
      <w:framePr w:wrap="around" w:vAnchor="text" w:hAnchor="margin" w:xAlign="outside" w:y="1"/>
      <w:rPr>
        <w:rStyle w:val="a5"/>
      </w:rPr>
    </w:pPr>
    <w:r>
      <w:rPr>
        <w:rStyle w:val="a5"/>
      </w:rPr>
      <w:fldChar w:fldCharType="begin"/>
    </w:r>
    <w:r w:rsidR="001F37B4">
      <w:rPr>
        <w:rStyle w:val="a5"/>
      </w:rPr>
      <w:instrText xml:space="preserve">PAGE  </w:instrText>
    </w:r>
    <w:r>
      <w:rPr>
        <w:rStyle w:val="a5"/>
      </w:rPr>
      <w:fldChar w:fldCharType="end"/>
    </w:r>
  </w:p>
  <w:p w:rsidR="001F37B4" w:rsidRDefault="001F37B4" w:rsidP="00F06908">
    <w:pPr>
      <w:pStyle w:val="afc"/>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7B4" w:rsidRPr="00BC3FBD" w:rsidRDefault="001B3943" w:rsidP="00DF2532">
    <w:pPr>
      <w:pStyle w:val="afc"/>
      <w:framePr w:wrap="around" w:vAnchor="text" w:hAnchor="margin" w:xAlign="outside" w:y="1"/>
      <w:rPr>
        <w:rStyle w:val="a5"/>
        <w:sz w:val="18"/>
        <w:szCs w:val="18"/>
      </w:rPr>
    </w:pPr>
    <w:r w:rsidRPr="00BC3FBD">
      <w:rPr>
        <w:rStyle w:val="a5"/>
        <w:sz w:val="18"/>
        <w:szCs w:val="18"/>
      </w:rPr>
      <w:fldChar w:fldCharType="begin"/>
    </w:r>
    <w:r w:rsidR="001F37B4" w:rsidRPr="00BC3FBD">
      <w:rPr>
        <w:rStyle w:val="a5"/>
        <w:sz w:val="18"/>
        <w:szCs w:val="18"/>
      </w:rPr>
      <w:instrText xml:space="preserve">PAGE  </w:instrText>
    </w:r>
    <w:r w:rsidRPr="00BC3FBD">
      <w:rPr>
        <w:rStyle w:val="a5"/>
        <w:sz w:val="18"/>
        <w:szCs w:val="18"/>
      </w:rPr>
      <w:fldChar w:fldCharType="separate"/>
    </w:r>
    <w:r w:rsidR="009915C6">
      <w:rPr>
        <w:rStyle w:val="a5"/>
        <w:noProof/>
        <w:sz w:val="18"/>
        <w:szCs w:val="18"/>
      </w:rPr>
      <w:t>1</w:t>
    </w:r>
    <w:r w:rsidRPr="00BC3FBD">
      <w:rPr>
        <w:rStyle w:val="a5"/>
        <w:sz w:val="18"/>
        <w:szCs w:val="18"/>
      </w:rPr>
      <w:fldChar w:fldCharType="end"/>
    </w:r>
  </w:p>
  <w:p w:rsidR="001F37B4" w:rsidRDefault="001F37B4" w:rsidP="00F06908">
    <w:pPr>
      <w:pStyle w:val="af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7B4" w:rsidRDefault="001F37B4">
      <w:r>
        <w:separator/>
      </w:r>
    </w:p>
  </w:footnote>
  <w:footnote w:type="continuationSeparator" w:id="0">
    <w:p w:rsidR="001F37B4" w:rsidRDefault="001F37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95AEDC0A"/>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3" w15:restartNumberingAfterBreak="0">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cs="Times New Roman"/>
      </w:rPr>
    </w:lvl>
  </w:abstractNum>
  <w:abstractNum w:abstractNumId="4" w15:restartNumberingAfterBreak="0">
    <w:nsid w:val="00000005"/>
    <w:multiLevelType w:val="multilevel"/>
    <w:tmpl w:val="0000000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15:restartNumberingAfterBreak="0">
    <w:nsid w:val="01350712"/>
    <w:multiLevelType w:val="multilevel"/>
    <w:tmpl w:val="FBBAAC5A"/>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15:restartNumberingAfterBreak="0">
    <w:nsid w:val="02732491"/>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7" w15:restartNumberingAfterBreak="0">
    <w:nsid w:val="05E1324E"/>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8" w15:restartNumberingAfterBreak="0">
    <w:nsid w:val="083C2147"/>
    <w:multiLevelType w:val="multilevel"/>
    <w:tmpl w:val="D5BAFD30"/>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9" w15:restartNumberingAfterBreak="0">
    <w:nsid w:val="0F206204"/>
    <w:multiLevelType w:val="hybridMultilevel"/>
    <w:tmpl w:val="010C97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AD0321"/>
    <w:multiLevelType w:val="hybridMultilevel"/>
    <w:tmpl w:val="95BE221A"/>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1" w15:restartNumberingAfterBreak="0">
    <w:nsid w:val="109B4DC3"/>
    <w:multiLevelType w:val="hybridMultilevel"/>
    <w:tmpl w:val="D6A2B97A"/>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2" w15:restartNumberingAfterBreak="0">
    <w:nsid w:val="11080B4E"/>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3" w15:restartNumberingAfterBreak="0">
    <w:nsid w:val="12D403F0"/>
    <w:multiLevelType w:val="hybridMultilevel"/>
    <w:tmpl w:val="79FE6AEC"/>
    <w:lvl w:ilvl="0" w:tplc="5CC20C7C">
      <w:numFmt w:val="bullet"/>
      <w:lvlText w:val="-"/>
      <w:lvlJc w:val="left"/>
      <w:pPr>
        <w:ind w:left="1103" w:hanging="360"/>
      </w:pPr>
      <w:rPr>
        <w:rFonts w:ascii="Times New Roman" w:eastAsia="Times New Roman" w:hAnsi="Times New Roman" w:cs="Times New Roman" w:hint="default"/>
      </w:rPr>
    </w:lvl>
    <w:lvl w:ilvl="1" w:tplc="04220003" w:tentative="1">
      <w:start w:val="1"/>
      <w:numFmt w:val="bullet"/>
      <w:lvlText w:val="o"/>
      <w:lvlJc w:val="left"/>
      <w:pPr>
        <w:ind w:left="1823" w:hanging="360"/>
      </w:pPr>
      <w:rPr>
        <w:rFonts w:ascii="Courier New" w:hAnsi="Courier New" w:cs="Courier New" w:hint="default"/>
      </w:rPr>
    </w:lvl>
    <w:lvl w:ilvl="2" w:tplc="04220005" w:tentative="1">
      <w:start w:val="1"/>
      <w:numFmt w:val="bullet"/>
      <w:lvlText w:val=""/>
      <w:lvlJc w:val="left"/>
      <w:pPr>
        <w:ind w:left="2543" w:hanging="360"/>
      </w:pPr>
      <w:rPr>
        <w:rFonts w:ascii="Wingdings" w:hAnsi="Wingdings" w:hint="default"/>
      </w:rPr>
    </w:lvl>
    <w:lvl w:ilvl="3" w:tplc="04220001" w:tentative="1">
      <w:start w:val="1"/>
      <w:numFmt w:val="bullet"/>
      <w:lvlText w:val=""/>
      <w:lvlJc w:val="left"/>
      <w:pPr>
        <w:ind w:left="3263" w:hanging="360"/>
      </w:pPr>
      <w:rPr>
        <w:rFonts w:ascii="Symbol" w:hAnsi="Symbol" w:hint="default"/>
      </w:rPr>
    </w:lvl>
    <w:lvl w:ilvl="4" w:tplc="04220003" w:tentative="1">
      <w:start w:val="1"/>
      <w:numFmt w:val="bullet"/>
      <w:lvlText w:val="o"/>
      <w:lvlJc w:val="left"/>
      <w:pPr>
        <w:ind w:left="3983" w:hanging="360"/>
      </w:pPr>
      <w:rPr>
        <w:rFonts w:ascii="Courier New" w:hAnsi="Courier New" w:cs="Courier New" w:hint="default"/>
      </w:rPr>
    </w:lvl>
    <w:lvl w:ilvl="5" w:tplc="04220005" w:tentative="1">
      <w:start w:val="1"/>
      <w:numFmt w:val="bullet"/>
      <w:lvlText w:val=""/>
      <w:lvlJc w:val="left"/>
      <w:pPr>
        <w:ind w:left="4703" w:hanging="360"/>
      </w:pPr>
      <w:rPr>
        <w:rFonts w:ascii="Wingdings" w:hAnsi="Wingdings" w:hint="default"/>
      </w:rPr>
    </w:lvl>
    <w:lvl w:ilvl="6" w:tplc="04220001" w:tentative="1">
      <w:start w:val="1"/>
      <w:numFmt w:val="bullet"/>
      <w:lvlText w:val=""/>
      <w:lvlJc w:val="left"/>
      <w:pPr>
        <w:ind w:left="5423" w:hanging="360"/>
      </w:pPr>
      <w:rPr>
        <w:rFonts w:ascii="Symbol" w:hAnsi="Symbol" w:hint="default"/>
      </w:rPr>
    </w:lvl>
    <w:lvl w:ilvl="7" w:tplc="04220003" w:tentative="1">
      <w:start w:val="1"/>
      <w:numFmt w:val="bullet"/>
      <w:lvlText w:val="o"/>
      <w:lvlJc w:val="left"/>
      <w:pPr>
        <w:ind w:left="6143" w:hanging="360"/>
      </w:pPr>
      <w:rPr>
        <w:rFonts w:ascii="Courier New" w:hAnsi="Courier New" w:cs="Courier New" w:hint="default"/>
      </w:rPr>
    </w:lvl>
    <w:lvl w:ilvl="8" w:tplc="04220005" w:tentative="1">
      <w:start w:val="1"/>
      <w:numFmt w:val="bullet"/>
      <w:lvlText w:val=""/>
      <w:lvlJc w:val="left"/>
      <w:pPr>
        <w:ind w:left="6863" w:hanging="360"/>
      </w:pPr>
      <w:rPr>
        <w:rFonts w:ascii="Wingdings" w:hAnsi="Wingdings" w:hint="default"/>
      </w:rPr>
    </w:lvl>
  </w:abstractNum>
  <w:abstractNum w:abstractNumId="14" w15:restartNumberingAfterBreak="0">
    <w:nsid w:val="130C6225"/>
    <w:multiLevelType w:val="multilevel"/>
    <w:tmpl w:val="0E786A20"/>
    <w:lvl w:ilvl="0">
      <w:start w:val="1"/>
      <w:numFmt w:val="decimal"/>
      <w:lvlText w:val="%1."/>
      <w:lvlJc w:val="left"/>
      <w:pPr>
        <w:tabs>
          <w:tab w:val="num" w:pos="1429"/>
        </w:tabs>
        <w:ind w:left="142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C3B427B"/>
    <w:multiLevelType w:val="multilevel"/>
    <w:tmpl w:val="75664A6C"/>
    <w:lvl w:ilvl="0">
      <w:start w:val="3"/>
      <w:numFmt w:val="bullet"/>
      <w:lvlText w:val="-"/>
      <w:lvlJc w:val="left"/>
      <w:pPr>
        <w:tabs>
          <w:tab w:val="num" w:pos="870"/>
        </w:tabs>
        <w:ind w:left="870" w:hanging="870"/>
      </w:pPr>
      <w:rPr>
        <w:rFonts w:ascii="Times New Roman" w:eastAsia="Times New Roman" w:hAnsi="Times New Roman" w:cs="Times New Roman" w:hint="default"/>
        <w:color w:val="auto"/>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6" w15:restartNumberingAfterBreak="0">
    <w:nsid w:val="1E3502E2"/>
    <w:multiLevelType w:val="multilevel"/>
    <w:tmpl w:val="759C52CC"/>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7" w15:restartNumberingAfterBreak="0">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8" w15:restartNumberingAfterBreak="0">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9" w15:restartNumberingAfterBreak="0">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0B2708"/>
    <w:multiLevelType w:val="hybridMultilevel"/>
    <w:tmpl w:val="0506F9E0"/>
    <w:lvl w:ilvl="0" w:tplc="D0444876">
      <w:start w:val="1"/>
      <w:numFmt w:val="decimal"/>
      <w:lvlText w:val="%1."/>
      <w:lvlJc w:val="left"/>
      <w:pPr>
        <w:tabs>
          <w:tab w:val="num" w:pos="1429"/>
        </w:tabs>
        <w:ind w:left="1429" w:hanging="360"/>
      </w:pPr>
      <w:rPr>
        <w:rFonts w:hint="default"/>
      </w:rPr>
    </w:lvl>
    <w:lvl w:ilvl="1" w:tplc="7FF0BAD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65C552D"/>
    <w:multiLevelType w:val="hybridMultilevel"/>
    <w:tmpl w:val="BC90805A"/>
    <w:lvl w:ilvl="0" w:tplc="8572F556">
      <w:start w:val="3"/>
      <w:numFmt w:val="bullet"/>
      <w:lvlText w:val="-"/>
      <w:lvlJc w:val="left"/>
      <w:pPr>
        <w:tabs>
          <w:tab w:val="num" w:pos="357"/>
        </w:tabs>
        <w:ind w:left="0" w:firstLine="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293713"/>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3" w15:restartNumberingAfterBreak="0">
    <w:nsid w:val="2DA12A78"/>
    <w:multiLevelType w:val="hybridMultilevel"/>
    <w:tmpl w:val="32729840"/>
    <w:name w:val="WW8Num13"/>
    <w:lvl w:ilvl="0" w:tplc="B49C5AB4">
      <w:start w:val="1"/>
      <w:numFmt w:val="decimal"/>
      <w:lvlText w:val="%1."/>
      <w:lvlJc w:val="left"/>
      <w:pPr>
        <w:tabs>
          <w:tab w:val="num" w:pos="-641"/>
        </w:tabs>
        <w:ind w:left="-641" w:firstLine="641"/>
      </w:pPr>
      <w:rPr>
        <w:rFonts w:hint="default"/>
        <w:i w:val="0"/>
        <w:i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1247BE3"/>
    <w:multiLevelType w:val="hybridMultilevel"/>
    <w:tmpl w:val="F0AA31C0"/>
    <w:name w:val="WW8Num142"/>
    <w:lvl w:ilvl="0" w:tplc="E3A6E6F4">
      <w:start w:val="1"/>
      <w:numFmt w:val="decimal"/>
      <w:lvlText w:val="%1."/>
      <w:lvlJc w:val="left"/>
      <w:pPr>
        <w:tabs>
          <w:tab w:val="num" w:pos="-357"/>
        </w:tabs>
        <w:ind w:left="-357" w:firstLine="714"/>
      </w:pPr>
      <w:rPr>
        <w:rFonts w:hint="default"/>
        <w:i w:val="0"/>
        <w:i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24370A3"/>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6" w15:restartNumberingAfterBreak="0">
    <w:nsid w:val="335F06B7"/>
    <w:multiLevelType w:val="hybridMultilevel"/>
    <w:tmpl w:val="A14EA776"/>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27" w15:restartNumberingAfterBreak="0">
    <w:nsid w:val="352877C4"/>
    <w:multiLevelType w:val="hybridMultilevel"/>
    <w:tmpl w:val="F40891F6"/>
    <w:lvl w:ilvl="0" w:tplc="AA924CA4">
      <w:start w:val="1"/>
      <w:numFmt w:val="bullet"/>
      <w:lvlText w:val=""/>
      <w:lvlJc w:val="left"/>
      <w:pPr>
        <w:ind w:left="1846"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28" w15:restartNumberingAfterBreak="0">
    <w:nsid w:val="384C7722"/>
    <w:multiLevelType w:val="multilevel"/>
    <w:tmpl w:val="501EE71E"/>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9" w15:restartNumberingAfterBreak="0">
    <w:nsid w:val="3B58639E"/>
    <w:multiLevelType w:val="hybridMultilevel"/>
    <w:tmpl w:val="ED28A96E"/>
    <w:lvl w:ilvl="0" w:tplc="08E0FB7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3D0F1B8E"/>
    <w:multiLevelType w:val="multilevel"/>
    <w:tmpl w:val="9BE052BA"/>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1" w15:restartNumberingAfterBreak="0">
    <w:nsid w:val="3D9A6F5A"/>
    <w:multiLevelType w:val="hybridMultilevel"/>
    <w:tmpl w:val="63BC8482"/>
    <w:lvl w:ilvl="0" w:tplc="5CC20C7C">
      <w:numFmt w:val="bullet"/>
      <w:lvlText w:val="-"/>
      <w:lvlJc w:val="left"/>
      <w:pPr>
        <w:ind w:left="1846" w:hanging="360"/>
      </w:pPr>
      <w:rPr>
        <w:rFonts w:ascii="Times New Roman" w:eastAsia="Times New Roman" w:hAnsi="Times New Roman" w:cs="Times New Roman"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32" w15:restartNumberingAfterBreak="0">
    <w:nsid w:val="45230C47"/>
    <w:multiLevelType w:val="hybridMultilevel"/>
    <w:tmpl w:val="504CFC34"/>
    <w:name w:val="WW8Num12"/>
    <w:lvl w:ilvl="0" w:tplc="4A18E3D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CF34CD5"/>
    <w:multiLevelType w:val="multilevel"/>
    <w:tmpl w:val="0506F9E0"/>
    <w:lvl w:ilvl="0">
      <w:start w:val="1"/>
      <w:numFmt w:val="decimal"/>
      <w:lvlText w:val="%1."/>
      <w:lvlJc w:val="left"/>
      <w:pPr>
        <w:tabs>
          <w:tab w:val="num" w:pos="1429"/>
        </w:tabs>
        <w:ind w:left="1429"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FCA35DE"/>
    <w:multiLevelType w:val="multilevel"/>
    <w:tmpl w:val="47BC64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5" w15:restartNumberingAfterBreak="0">
    <w:nsid w:val="506C036D"/>
    <w:multiLevelType w:val="multilevel"/>
    <w:tmpl w:val="C7465678"/>
    <w:name w:val="WW8Num14"/>
    <w:lvl w:ilvl="0">
      <w:start w:val="1"/>
      <w:numFmt w:val="decimal"/>
      <w:lvlText w:val="%1."/>
      <w:lvlJc w:val="left"/>
      <w:pPr>
        <w:tabs>
          <w:tab w:val="num" w:pos="-357"/>
        </w:tabs>
        <w:ind w:left="-357" w:firstLine="714"/>
      </w:pPr>
      <w:rPr>
        <w:rFonts w:hint="default"/>
        <w:i w:val="0"/>
        <w:iCs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36" w15:restartNumberingAfterBreak="0">
    <w:nsid w:val="51B84A86"/>
    <w:multiLevelType w:val="multilevel"/>
    <w:tmpl w:val="D368C63A"/>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37" w15:restartNumberingAfterBreak="0">
    <w:nsid w:val="53AD623C"/>
    <w:multiLevelType w:val="hybridMultilevel"/>
    <w:tmpl w:val="3B022310"/>
    <w:lvl w:ilvl="0" w:tplc="5CC20C7C">
      <w:numFmt w:val="bullet"/>
      <w:lvlText w:val="-"/>
      <w:lvlJc w:val="left"/>
      <w:pPr>
        <w:ind w:left="1103" w:hanging="360"/>
      </w:pPr>
      <w:rPr>
        <w:rFonts w:ascii="Times New Roman" w:eastAsia="Times New Roman" w:hAnsi="Times New Roman" w:cs="Times New Roman" w:hint="default"/>
      </w:rPr>
    </w:lvl>
    <w:lvl w:ilvl="1" w:tplc="04220003" w:tentative="1">
      <w:start w:val="1"/>
      <w:numFmt w:val="bullet"/>
      <w:lvlText w:val="o"/>
      <w:lvlJc w:val="left"/>
      <w:pPr>
        <w:ind w:left="1823" w:hanging="360"/>
      </w:pPr>
      <w:rPr>
        <w:rFonts w:ascii="Courier New" w:hAnsi="Courier New" w:cs="Courier New" w:hint="default"/>
      </w:rPr>
    </w:lvl>
    <w:lvl w:ilvl="2" w:tplc="04220005" w:tentative="1">
      <w:start w:val="1"/>
      <w:numFmt w:val="bullet"/>
      <w:lvlText w:val=""/>
      <w:lvlJc w:val="left"/>
      <w:pPr>
        <w:ind w:left="2543" w:hanging="360"/>
      </w:pPr>
      <w:rPr>
        <w:rFonts w:ascii="Wingdings" w:hAnsi="Wingdings" w:hint="default"/>
      </w:rPr>
    </w:lvl>
    <w:lvl w:ilvl="3" w:tplc="04220001" w:tentative="1">
      <w:start w:val="1"/>
      <w:numFmt w:val="bullet"/>
      <w:lvlText w:val=""/>
      <w:lvlJc w:val="left"/>
      <w:pPr>
        <w:ind w:left="3263" w:hanging="360"/>
      </w:pPr>
      <w:rPr>
        <w:rFonts w:ascii="Symbol" w:hAnsi="Symbol" w:hint="default"/>
      </w:rPr>
    </w:lvl>
    <w:lvl w:ilvl="4" w:tplc="04220003" w:tentative="1">
      <w:start w:val="1"/>
      <w:numFmt w:val="bullet"/>
      <w:lvlText w:val="o"/>
      <w:lvlJc w:val="left"/>
      <w:pPr>
        <w:ind w:left="3983" w:hanging="360"/>
      </w:pPr>
      <w:rPr>
        <w:rFonts w:ascii="Courier New" w:hAnsi="Courier New" w:cs="Courier New" w:hint="default"/>
      </w:rPr>
    </w:lvl>
    <w:lvl w:ilvl="5" w:tplc="04220005" w:tentative="1">
      <w:start w:val="1"/>
      <w:numFmt w:val="bullet"/>
      <w:lvlText w:val=""/>
      <w:lvlJc w:val="left"/>
      <w:pPr>
        <w:ind w:left="4703" w:hanging="360"/>
      </w:pPr>
      <w:rPr>
        <w:rFonts w:ascii="Wingdings" w:hAnsi="Wingdings" w:hint="default"/>
      </w:rPr>
    </w:lvl>
    <w:lvl w:ilvl="6" w:tplc="04220001" w:tentative="1">
      <w:start w:val="1"/>
      <w:numFmt w:val="bullet"/>
      <w:lvlText w:val=""/>
      <w:lvlJc w:val="left"/>
      <w:pPr>
        <w:ind w:left="5423" w:hanging="360"/>
      </w:pPr>
      <w:rPr>
        <w:rFonts w:ascii="Symbol" w:hAnsi="Symbol" w:hint="default"/>
      </w:rPr>
    </w:lvl>
    <w:lvl w:ilvl="7" w:tplc="04220003" w:tentative="1">
      <w:start w:val="1"/>
      <w:numFmt w:val="bullet"/>
      <w:lvlText w:val="o"/>
      <w:lvlJc w:val="left"/>
      <w:pPr>
        <w:ind w:left="6143" w:hanging="360"/>
      </w:pPr>
      <w:rPr>
        <w:rFonts w:ascii="Courier New" w:hAnsi="Courier New" w:cs="Courier New" w:hint="default"/>
      </w:rPr>
    </w:lvl>
    <w:lvl w:ilvl="8" w:tplc="04220005" w:tentative="1">
      <w:start w:val="1"/>
      <w:numFmt w:val="bullet"/>
      <w:lvlText w:val=""/>
      <w:lvlJc w:val="left"/>
      <w:pPr>
        <w:ind w:left="6863" w:hanging="360"/>
      </w:pPr>
      <w:rPr>
        <w:rFonts w:ascii="Wingdings" w:hAnsi="Wingdings" w:hint="default"/>
      </w:rPr>
    </w:lvl>
  </w:abstractNum>
  <w:abstractNum w:abstractNumId="38" w15:restartNumberingAfterBreak="0">
    <w:nsid w:val="54CF549D"/>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9" w15:restartNumberingAfterBreak="0">
    <w:nsid w:val="588B2512"/>
    <w:multiLevelType w:val="hybridMultilevel"/>
    <w:tmpl w:val="CF800796"/>
    <w:name w:val="WW8Num1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94D2564"/>
    <w:multiLevelType w:val="hybridMultilevel"/>
    <w:tmpl w:val="4D2C1DAE"/>
    <w:lvl w:ilvl="0" w:tplc="AA924CA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15:restartNumberingAfterBreak="0">
    <w:nsid w:val="64E57647"/>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2" w15:restartNumberingAfterBreak="0">
    <w:nsid w:val="662868F2"/>
    <w:multiLevelType w:val="hybridMultilevel"/>
    <w:tmpl w:val="8F588428"/>
    <w:lvl w:ilvl="0" w:tplc="00000003">
      <w:start w:val="11"/>
      <w:numFmt w:val="bullet"/>
      <w:lvlText w:val="-"/>
      <w:lvlJc w:val="left"/>
      <w:pPr>
        <w:ind w:left="1429" w:hanging="360"/>
      </w:pPr>
      <w:rPr>
        <w:rFonts w:ascii="Times New Roman" w:hAnsi="Times New Roman"/>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3" w15:restartNumberingAfterBreak="0">
    <w:nsid w:val="66A810EB"/>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4" w15:restartNumberingAfterBreak="0">
    <w:nsid w:val="76283F9B"/>
    <w:multiLevelType w:val="hybridMultilevel"/>
    <w:tmpl w:val="CDC80722"/>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45" w15:restartNumberingAfterBreak="0">
    <w:nsid w:val="77472144"/>
    <w:multiLevelType w:val="hybridMultilevel"/>
    <w:tmpl w:val="DAB00C78"/>
    <w:lvl w:ilvl="0" w:tplc="04220001">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46" w15:restartNumberingAfterBreak="0">
    <w:nsid w:val="7C9E17AF"/>
    <w:multiLevelType w:val="multilevel"/>
    <w:tmpl w:val="860A964C"/>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2"/>
  </w:num>
  <w:num w:numId="3">
    <w:abstractNumId w:val="4"/>
  </w:num>
  <w:num w:numId="4">
    <w:abstractNumId w:val="19"/>
  </w:num>
  <w:num w:numId="5">
    <w:abstractNumId w:val="35"/>
  </w:num>
  <w:num w:numId="6">
    <w:abstractNumId w:val="24"/>
  </w:num>
  <w:num w:numId="7">
    <w:abstractNumId w:val="1"/>
  </w:num>
  <w:num w:numId="8">
    <w:abstractNumId w:val="9"/>
  </w:num>
  <w:num w:numId="9">
    <w:abstractNumId w:val="29"/>
  </w:num>
  <w:num w:numId="10">
    <w:abstractNumId w:val="21"/>
  </w:num>
  <w:num w:numId="1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43"/>
  </w:num>
  <w:num w:numId="14">
    <w:abstractNumId w:val="25"/>
  </w:num>
  <w:num w:numId="15">
    <w:abstractNumId w:val="41"/>
  </w:num>
  <w:num w:numId="16">
    <w:abstractNumId w:val="38"/>
  </w:num>
  <w:num w:numId="17">
    <w:abstractNumId w:val="6"/>
  </w:num>
  <w:num w:numId="18">
    <w:abstractNumId w:val="12"/>
  </w:num>
  <w:num w:numId="19">
    <w:abstractNumId w:val="3"/>
  </w:num>
  <w:num w:numId="20">
    <w:abstractNumId w:val="30"/>
  </w:num>
  <w:num w:numId="21">
    <w:abstractNumId w:val="16"/>
  </w:num>
  <w:num w:numId="22">
    <w:abstractNumId w:val="15"/>
  </w:num>
  <w:num w:numId="23">
    <w:abstractNumId w:val="7"/>
  </w:num>
  <w:num w:numId="24">
    <w:abstractNumId w:val="5"/>
  </w:num>
  <w:num w:numId="25">
    <w:abstractNumId w:val="39"/>
  </w:num>
  <w:num w:numId="26">
    <w:abstractNumId w:val="46"/>
  </w:num>
  <w:num w:numId="27">
    <w:abstractNumId w:val="28"/>
  </w:num>
  <w:num w:numId="28">
    <w:abstractNumId w:val="20"/>
  </w:num>
  <w:num w:numId="29">
    <w:abstractNumId w:val="14"/>
  </w:num>
  <w:num w:numId="30">
    <w:abstractNumId w:val="33"/>
  </w:num>
  <w:num w:numId="31">
    <w:abstractNumId w:val="34"/>
  </w:num>
  <w:num w:numId="32">
    <w:abstractNumId w:val="8"/>
  </w:num>
  <w:num w:numId="33">
    <w:abstractNumId w:val="36"/>
  </w:num>
  <w:num w:numId="34">
    <w:abstractNumId w:val="42"/>
  </w:num>
  <w:num w:numId="35">
    <w:abstractNumId w:val="45"/>
  </w:num>
  <w:num w:numId="36">
    <w:abstractNumId w:val="44"/>
  </w:num>
  <w:num w:numId="37">
    <w:abstractNumId w:val="10"/>
  </w:num>
  <w:num w:numId="38">
    <w:abstractNumId w:val="37"/>
  </w:num>
  <w:num w:numId="39">
    <w:abstractNumId w:val="31"/>
  </w:num>
  <w:num w:numId="40">
    <w:abstractNumId w:val="27"/>
  </w:num>
  <w:num w:numId="41">
    <w:abstractNumId w:val="18"/>
  </w:num>
  <w:num w:numId="42">
    <w:abstractNumId w:val="11"/>
  </w:num>
  <w:num w:numId="43">
    <w:abstractNumId w:val="13"/>
  </w:num>
  <w:num w:numId="44">
    <w:abstractNumId w:val="26"/>
  </w:num>
  <w:num w:numId="45">
    <w:abstractNumId w:val="17"/>
  </w:num>
  <w:num w:numId="46">
    <w:abstractNumId w:val="4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E795D"/>
    <w:rsid w:val="00000C70"/>
    <w:rsid w:val="00002BAC"/>
    <w:rsid w:val="00003C02"/>
    <w:rsid w:val="00004067"/>
    <w:rsid w:val="0000432A"/>
    <w:rsid w:val="00004DF5"/>
    <w:rsid w:val="00004E4F"/>
    <w:rsid w:val="00007646"/>
    <w:rsid w:val="00010882"/>
    <w:rsid w:val="00010A87"/>
    <w:rsid w:val="00011074"/>
    <w:rsid w:val="000111B1"/>
    <w:rsid w:val="0001261D"/>
    <w:rsid w:val="00012ED0"/>
    <w:rsid w:val="00014F10"/>
    <w:rsid w:val="00015F58"/>
    <w:rsid w:val="000200B1"/>
    <w:rsid w:val="00022AD0"/>
    <w:rsid w:val="0002323A"/>
    <w:rsid w:val="00023C38"/>
    <w:rsid w:val="0002415C"/>
    <w:rsid w:val="0002444C"/>
    <w:rsid w:val="00024B53"/>
    <w:rsid w:val="000251EC"/>
    <w:rsid w:val="0002576F"/>
    <w:rsid w:val="000259F6"/>
    <w:rsid w:val="00026F53"/>
    <w:rsid w:val="00027456"/>
    <w:rsid w:val="00027FA8"/>
    <w:rsid w:val="00027FE1"/>
    <w:rsid w:val="0003043A"/>
    <w:rsid w:val="00031018"/>
    <w:rsid w:val="00031472"/>
    <w:rsid w:val="00032204"/>
    <w:rsid w:val="00034142"/>
    <w:rsid w:val="00034B86"/>
    <w:rsid w:val="000355E7"/>
    <w:rsid w:val="00035CB8"/>
    <w:rsid w:val="000366CA"/>
    <w:rsid w:val="00036DCB"/>
    <w:rsid w:val="00037DBE"/>
    <w:rsid w:val="000409D3"/>
    <w:rsid w:val="0004140F"/>
    <w:rsid w:val="00041B71"/>
    <w:rsid w:val="00041BE1"/>
    <w:rsid w:val="00042C86"/>
    <w:rsid w:val="0004331C"/>
    <w:rsid w:val="00043F59"/>
    <w:rsid w:val="000449CC"/>
    <w:rsid w:val="00045059"/>
    <w:rsid w:val="00050F11"/>
    <w:rsid w:val="0005195D"/>
    <w:rsid w:val="000521DD"/>
    <w:rsid w:val="00052ADB"/>
    <w:rsid w:val="00053567"/>
    <w:rsid w:val="00054287"/>
    <w:rsid w:val="00054802"/>
    <w:rsid w:val="0005486E"/>
    <w:rsid w:val="00057253"/>
    <w:rsid w:val="00057ED3"/>
    <w:rsid w:val="000612C1"/>
    <w:rsid w:val="000647A5"/>
    <w:rsid w:val="000647DD"/>
    <w:rsid w:val="000657C0"/>
    <w:rsid w:val="000665C2"/>
    <w:rsid w:val="000667C7"/>
    <w:rsid w:val="00066B62"/>
    <w:rsid w:val="00066BFE"/>
    <w:rsid w:val="000672D0"/>
    <w:rsid w:val="00067333"/>
    <w:rsid w:val="00071351"/>
    <w:rsid w:val="00072343"/>
    <w:rsid w:val="00072BE4"/>
    <w:rsid w:val="00073361"/>
    <w:rsid w:val="00075EF8"/>
    <w:rsid w:val="000773A9"/>
    <w:rsid w:val="00077AE4"/>
    <w:rsid w:val="000811B9"/>
    <w:rsid w:val="00082028"/>
    <w:rsid w:val="000848F2"/>
    <w:rsid w:val="000852FC"/>
    <w:rsid w:val="00087DD4"/>
    <w:rsid w:val="0009007B"/>
    <w:rsid w:val="00090B9E"/>
    <w:rsid w:val="00090CDA"/>
    <w:rsid w:val="0009261A"/>
    <w:rsid w:val="00095901"/>
    <w:rsid w:val="00095B9B"/>
    <w:rsid w:val="00097A27"/>
    <w:rsid w:val="00097A9B"/>
    <w:rsid w:val="00097BC0"/>
    <w:rsid w:val="000A04F4"/>
    <w:rsid w:val="000A0636"/>
    <w:rsid w:val="000A0A6D"/>
    <w:rsid w:val="000A17FC"/>
    <w:rsid w:val="000A2523"/>
    <w:rsid w:val="000A26C1"/>
    <w:rsid w:val="000A2BE8"/>
    <w:rsid w:val="000A35F1"/>
    <w:rsid w:val="000A4890"/>
    <w:rsid w:val="000A5265"/>
    <w:rsid w:val="000A53F3"/>
    <w:rsid w:val="000B1C20"/>
    <w:rsid w:val="000B3969"/>
    <w:rsid w:val="000B3FE9"/>
    <w:rsid w:val="000B54A2"/>
    <w:rsid w:val="000B6CFB"/>
    <w:rsid w:val="000B71C2"/>
    <w:rsid w:val="000B733E"/>
    <w:rsid w:val="000B7A37"/>
    <w:rsid w:val="000B7E40"/>
    <w:rsid w:val="000C29FB"/>
    <w:rsid w:val="000C2EE6"/>
    <w:rsid w:val="000C404F"/>
    <w:rsid w:val="000C4753"/>
    <w:rsid w:val="000C5118"/>
    <w:rsid w:val="000C7642"/>
    <w:rsid w:val="000D30DD"/>
    <w:rsid w:val="000D459E"/>
    <w:rsid w:val="000D6D2A"/>
    <w:rsid w:val="000E184F"/>
    <w:rsid w:val="000E2555"/>
    <w:rsid w:val="000E34D2"/>
    <w:rsid w:val="000E47DB"/>
    <w:rsid w:val="000E4E2C"/>
    <w:rsid w:val="000E5B5F"/>
    <w:rsid w:val="000E5EF5"/>
    <w:rsid w:val="000E6753"/>
    <w:rsid w:val="000E6A7E"/>
    <w:rsid w:val="000E6EAE"/>
    <w:rsid w:val="000E71C6"/>
    <w:rsid w:val="000E77D8"/>
    <w:rsid w:val="000E7DC9"/>
    <w:rsid w:val="000F0FF7"/>
    <w:rsid w:val="000F19F9"/>
    <w:rsid w:val="000F25FE"/>
    <w:rsid w:val="000F3C52"/>
    <w:rsid w:val="000F3EB8"/>
    <w:rsid w:val="000F5122"/>
    <w:rsid w:val="000F5D7E"/>
    <w:rsid w:val="000F5DD8"/>
    <w:rsid w:val="000F6C88"/>
    <w:rsid w:val="000F70E4"/>
    <w:rsid w:val="0010057D"/>
    <w:rsid w:val="0010112E"/>
    <w:rsid w:val="00102816"/>
    <w:rsid w:val="001032CC"/>
    <w:rsid w:val="00103426"/>
    <w:rsid w:val="00103F39"/>
    <w:rsid w:val="00105135"/>
    <w:rsid w:val="0010629C"/>
    <w:rsid w:val="00107327"/>
    <w:rsid w:val="001116C3"/>
    <w:rsid w:val="00114A2C"/>
    <w:rsid w:val="00115049"/>
    <w:rsid w:val="00115CD3"/>
    <w:rsid w:val="00116677"/>
    <w:rsid w:val="00116F81"/>
    <w:rsid w:val="00117748"/>
    <w:rsid w:val="001213D1"/>
    <w:rsid w:val="00122198"/>
    <w:rsid w:val="00122FF9"/>
    <w:rsid w:val="00123447"/>
    <w:rsid w:val="0012364B"/>
    <w:rsid w:val="001239C5"/>
    <w:rsid w:val="00123AC6"/>
    <w:rsid w:val="00123F93"/>
    <w:rsid w:val="00124945"/>
    <w:rsid w:val="0012595A"/>
    <w:rsid w:val="00125B1B"/>
    <w:rsid w:val="00125CD3"/>
    <w:rsid w:val="0012661F"/>
    <w:rsid w:val="001318B3"/>
    <w:rsid w:val="00132104"/>
    <w:rsid w:val="00132232"/>
    <w:rsid w:val="0013284E"/>
    <w:rsid w:val="00132A49"/>
    <w:rsid w:val="00133BD4"/>
    <w:rsid w:val="00134AC7"/>
    <w:rsid w:val="00134F37"/>
    <w:rsid w:val="00135301"/>
    <w:rsid w:val="00135447"/>
    <w:rsid w:val="00135917"/>
    <w:rsid w:val="00135AEB"/>
    <w:rsid w:val="00136DD6"/>
    <w:rsid w:val="00141D80"/>
    <w:rsid w:val="0014277B"/>
    <w:rsid w:val="00142B3F"/>
    <w:rsid w:val="00142FDA"/>
    <w:rsid w:val="001431D2"/>
    <w:rsid w:val="00143220"/>
    <w:rsid w:val="00143C65"/>
    <w:rsid w:val="00144106"/>
    <w:rsid w:val="00144399"/>
    <w:rsid w:val="001445E7"/>
    <w:rsid w:val="00145BFB"/>
    <w:rsid w:val="0014695B"/>
    <w:rsid w:val="00146D00"/>
    <w:rsid w:val="00146E66"/>
    <w:rsid w:val="00146EA7"/>
    <w:rsid w:val="00146F47"/>
    <w:rsid w:val="001474BB"/>
    <w:rsid w:val="00150AE5"/>
    <w:rsid w:val="00151699"/>
    <w:rsid w:val="00151FC6"/>
    <w:rsid w:val="00152873"/>
    <w:rsid w:val="00152AE8"/>
    <w:rsid w:val="0015366B"/>
    <w:rsid w:val="00156EBD"/>
    <w:rsid w:val="00157743"/>
    <w:rsid w:val="0015774F"/>
    <w:rsid w:val="001578BA"/>
    <w:rsid w:val="001603BA"/>
    <w:rsid w:val="00160C34"/>
    <w:rsid w:val="001610B8"/>
    <w:rsid w:val="001637F5"/>
    <w:rsid w:val="00170D4E"/>
    <w:rsid w:val="001719B0"/>
    <w:rsid w:val="00171AC2"/>
    <w:rsid w:val="00171AF7"/>
    <w:rsid w:val="00173A3C"/>
    <w:rsid w:val="00174B2C"/>
    <w:rsid w:val="00177505"/>
    <w:rsid w:val="00180C7B"/>
    <w:rsid w:val="00181528"/>
    <w:rsid w:val="00181710"/>
    <w:rsid w:val="001824AF"/>
    <w:rsid w:val="00182509"/>
    <w:rsid w:val="00182BFA"/>
    <w:rsid w:val="00183FE9"/>
    <w:rsid w:val="00184795"/>
    <w:rsid w:val="00184921"/>
    <w:rsid w:val="00185121"/>
    <w:rsid w:val="001855FB"/>
    <w:rsid w:val="001866BA"/>
    <w:rsid w:val="00192599"/>
    <w:rsid w:val="001929A3"/>
    <w:rsid w:val="00193441"/>
    <w:rsid w:val="00193D86"/>
    <w:rsid w:val="00193DF1"/>
    <w:rsid w:val="00195432"/>
    <w:rsid w:val="0019562E"/>
    <w:rsid w:val="00196CEE"/>
    <w:rsid w:val="00197031"/>
    <w:rsid w:val="00197078"/>
    <w:rsid w:val="001A07D8"/>
    <w:rsid w:val="001A1233"/>
    <w:rsid w:val="001A26D5"/>
    <w:rsid w:val="001A2F9B"/>
    <w:rsid w:val="001A3A77"/>
    <w:rsid w:val="001A3C9C"/>
    <w:rsid w:val="001A4AE7"/>
    <w:rsid w:val="001A4C36"/>
    <w:rsid w:val="001A51C6"/>
    <w:rsid w:val="001A6F77"/>
    <w:rsid w:val="001A72A0"/>
    <w:rsid w:val="001A7442"/>
    <w:rsid w:val="001A7CA9"/>
    <w:rsid w:val="001B07DB"/>
    <w:rsid w:val="001B09F9"/>
    <w:rsid w:val="001B0B72"/>
    <w:rsid w:val="001B26BA"/>
    <w:rsid w:val="001B2A0D"/>
    <w:rsid w:val="001B2F56"/>
    <w:rsid w:val="001B306B"/>
    <w:rsid w:val="001B3934"/>
    <w:rsid w:val="001B3943"/>
    <w:rsid w:val="001B4133"/>
    <w:rsid w:val="001B58DF"/>
    <w:rsid w:val="001B5DCD"/>
    <w:rsid w:val="001B608B"/>
    <w:rsid w:val="001B639F"/>
    <w:rsid w:val="001B6588"/>
    <w:rsid w:val="001C33BD"/>
    <w:rsid w:val="001C35F6"/>
    <w:rsid w:val="001C4BB9"/>
    <w:rsid w:val="001C6115"/>
    <w:rsid w:val="001D0734"/>
    <w:rsid w:val="001D147A"/>
    <w:rsid w:val="001D2310"/>
    <w:rsid w:val="001D239E"/>
    <w:rsid w:val="001D2970"/>
    <w:rsid w:val="001D4564"/>
    <w:rsid w:val="001D6450"/>
    <w:rsid w:val="001E082F"/>
    <w:rsid w:val="001E08CB"/>
    <w:rsid w:val="001E0BE6"/>
    <w:rsid w:val="001E0CE9"/>
    <w:rsid w:val="001E1511"/>
    <w:rsid w:val="001E22E6"/>
    <w:rsid w:val="001E58AB"/>
    <w:rsid w:val="001E72EB"/>
    <w:rsid w:val="001E7955"/>
    <w:rsid w:val="001F0D8F"/>
    <w:rsid w:val="001F167E"/>
    <w:rsid w:val="001F188B"/>
    <w:rsid w:val="001F37B4"/>
    <w:rsid w:val="001F3D99"/>
    <w:rsid w:val="001F45E4"/>
    <w:rsid w:val="001F470D"/>
    <w:rsid w:val="001F47A8"/>
    <w:rsid w:val="001F5BC4"/>
    <w:rsid w:val="001F63EE"/>
    <w:rsid w:val="001F6AE5"/>
    <w:rsid w:val="0020286A"/>
    <w:rsid w:val="002063C7"/>
    <w:rsid w:val="00206991"/>
    <w:rsid w:val="00206C84"/>
    <w:rsid w:val="00207C87"/>
    <w:rsid w:val="00207C8C"/>
    <w:rsid w:val="00211601"/>
    <w:rsid w:val="002132BA"/>
    <w:rsid w:val="00214935"/>
    <w:rsid w:val="00214D52"/>
    <w:rsid w:val="002159B0"/>
    <w:rsid w:val="002161DF"/>
    <w:rsid w:val="00216F9F"/>
    <w:rsid w:val="00220EE6"/>
    <w:rsid w:val="002210BA"/>
    <w:rsid w:val="002218E9"/>
    <w:rsid w:val="00221C3C"/>
    <w:rsid w:val="00222045"/>
    <w:rsid w:val="00223A1D"/>
    <w:rsid w:val="0022491D"/>
    <w:rsid w:val="00225C35"/>
    <w:rsid w:val="00226AAC"/>
    <w:rsid w:val="0022739E"/>
    <w:rsid w:val="002300D0"/>
    <w:rsid w:val="00230311"/>
    <w:rsid w:val="0023057C"/>
    <w:rsid w:val="0023116E"/>
    <w:rsid w:val="0023195C"/>
    <w:rsid w:val="00232E8C"/>
    <w:rsid w:val="002346AB"/>
    <w:rsid w:val="00234F71"/>
    <w:rsid w:val="00235845"/>
    <w:rsid w:val="00235ACF"/>
    <w:rsid w:val="002370E6"/>
    <w:rsid w:val="00237747"/>
    <w:rsid w:val="00237A78"/>
    <w:rsid w:val="00237F0A"/>
    <w:rsid w:val="002402C0"/>
    <w:rsid w:val="00240338"/>
    <w:rsid w:val="00240DB2"/>
    <w:rsid w:val="00242853"/>
    <w:rsid w:val="002435D8"/>
    <w:rsid w:val="00244ABA"/>
    <w:rsid w:val="00245EC9"/>
    <w:rsid w:val="0024601A"/>
    <w:rsid w:val="002462E4"/>
    <w:rsid w:val="002471CA"/>
    <w:rsid w:val="0024770E"/>
    <w:rsid w:val="00250393"/>
    <w:rsid w:val="00251ED5"/>
    <w:rsid w:val="00251FBE"/>
    <w:rsid w:val="00252680"/>
    <w:rsid w:val="002531C3"/>
    <w:rsid w:val="002533B7"/>
    <w:rsid w:val="002546D5"/>
    <w:rsid w:val="002571CB"/>
    <w:rsid w:val="002572CA"/>
    <w:rsid w:val="00257F5E"/>
    <w:rsid w:val="0026022E"/>
    <w:rsid w:val="002607E7"/>
    <w:rsid w:val="00260820"/>
    <w:rsid w:val="0026256E"/>
    <w:rsid w:val="002630AF"/>
    <w:rsid w:val="00264E69"/>
    <w:rsid w:val="00265D47"/>
    <w:rsid w:val="00271B34"/>
    <w:rsid w:val="002724C1"/>
    <w:rsid w:val="0027263A"/>
    <w:rsid w:val="00272A07"/>
    <w:rsid w:val="00273BF7"/>
    <w:rsid w:val="00273E43"/>
    <w:rsid w:val="00274414"/>
    <w:rsid w:val="00274E4B"/>
    <w:rsid w:val="00275297"/>
    <w:rsid w:val="00275A91"/>
    <w:rsid w:val="00277881"/>
    <w:rsid w:val="00280A21"/>
    <w:rsid w:val="0028252E"/>
    <w:rsid w:val="0028354E"/>
    <w:rsid w:val="0028585C"/>
    <w:rsid w:val="00286048"/>
    <w:rsid w:val="0028703A"/>
    <w:rsid w:val="002872B7"/>
    <w:rsid w:val="00287F69"/>
    <w:rsid w:val="00290615"/>
    <w:rsid w:val="0029093F"/>
    <w:rsid w:val="00290B74"/>
    <w:rsid w:val="00291112"/>
    <w:rsid w:val="00291752"/>
    <w:rsid w:val="00292A40"/>
    <w:rsid w:val="002936A0"/>
    <w:rsid w:val="00294EF9"/>
    <w:rsid w:val="002950C8"/>
    <w:rsid w:val="00296BA2"/>
    <w:rsid w:val="00297F24"/>
    <w:rsid w:val="002A03F9"/>
    <w:rsid w:val="002A107E"/>
    <w:rsid w:val="002A1465"/>
    <w:rsid w:val="002A14DF"/>
    <w:rsid w:val="002A150D"/>
    <w:rsid w:val="002A1D99"/>
    <w:rsid w:val="002A2551"/>
    <w:rsid w:val="002A4297"/>
    <w:rsid w:val="002A4834"/>
    <w:rsid w:val="002A4D7F"/>
    <w:rsid w:val="002A4EC4"/>
    <w:rsid w:val="002B1021"/>
    <w:rsid w:val="002B13FD"/>
    <w:rsid w:val="002B154F"/>
    <w:rsid w:val="002B1664"/>
    <w:rsid w:val="002B1AF2"/>
    <w:rsid w:val="002B22D0"/>
    <w:rsid w:val="002B4B70"/>
    <w:rsid w:val="002B5662"/>
    <w:rsid w:val="002B5759"/>
    <w:rsid w:val="002B7067"/>
    <w:rsid w:val="002C0DA1"/>
    <w:rsid w:val="002C1700"/>
    <w:rsid w:val="002C26E5"/>
    <w:rsid w:val="002C285E"/>
    <w:rsid w:val="002C2E66"/>
    <w:rsid w:val="002C45F0"/>
    <w:rsid w:val="002C647F"/>
    <w:rsid w:val="002C69CF"/>
    <w:rsid w:val="002C76D4"/>
    <w:rsid w:val="002C7B60"/>
    <w:rsid w:val="002D070E"/>
    <w:rsid w:val="002D1E58"/>
    <w:rsid w:val="002D3DC3"/>
    <w:rsid w:val="002D44A9"/>
    <w:rsid w:val="002D7137"/>
    <w:rsid w:val="002D725D"/>
    <w:rsid w:val="002D77BF"/>
    <w:rsid w:val="002D7EA4"/>
    <w:rsid w:val="002D7F8A"/>
    <w:rsid w:val="002E06C7"/>
    <w:rsid w:val="002E3C0D"/>
    <w:rsid w:val="002E4F8F"/>
    <w:rsid w:val="002E5BB1"/>
    <w:rsid w:val="002E6CAD"/>
    <w:rsid w:val="002E70A6"/>
    <w:rsid w:val="002E7749"/>
    <w:rsid w:val="002F02EC"/>
    <w:rsid w:val="002F19D7"/>
    <w:rsid w:val="002F2994"/>
    <w:rsid w:val="002F318A"/>
    <w:rsid w:val="002F3DA6"/>
    <w:rsid w:val="002F3F74"/>
    <w:rsid w:val="002F4C7F"/>
    <w:rsid w:val="002F6686"/>
    <w:rsid w:val="002F6A91"/>
    <w:rsid w:val="0030070E"/>
    <w:rsid w:val="00301FE1"/>
    <w:rsid w:val="00302E0B"/>
    <w:rsid w:val="00303375"/>
    <w:rsid w:val="00303DDF"/>
    <w:rsid w:val="00303DFA"/>
    <w:rsid w:val="0030469E"/>
    <w:rsid w:val="003057A6"/>
    <w:rsid w:val="00307EE9"/>
    <w:rsid w:val="0031082C"/>
    <w:rsid w:val="00310BAC"/>
    <w:rsid w:val="00311314"/>
    <w:rsid w:val="003117C4"/>
    <w:rsid w:val="00311971"/>
    <w:rsid w:val="003147B2"/>
    <w:rsid w:val="00316662"/>
    <w:rsid w:val="0031686E"/>
    <w:rsid w:val="003201FE"/>
    <w:rsid w:val="00320459"/>
    <w:rsid w:val="00321097"/>
    <w:rsid w:val="0032139B"/>
    <w:rsid w:val="0032157B"/>
    <w:rsid w:val="00322DBF"/>
    <w:rsid w:val="003237FA"/>
    <w:rsid w:val="00323BF6"/>
    <w:rsid w:val="00323C6E"/>
    <w:rsid w:val="00324F92"/>
    <w:rsid w:val="003265D6"/>
    <w:rsid w:val="00326718"/>
    <w:rsid w:val="0033073A"/>
    <w:rsid w:val="003309F0"/>
    <w:rsid w:val="0033205F"/>
    <w:rsid w:val="003326CE"/>
    <w:rsid w:val="00333790"/>
    <w:rsid w:val="00333965"/>
    <w:rsid w:val="00334CD1"/>
    <w:rsid w:val="0033562C"/>
    <w:rsid w:val="00335A9E"/>
    <w:rsid w:val="0033602A"/>
    <w:rsid w:val="0033612D"/>
    <w:rsid w:val="003361C5"/>
    <w:rsid w:val="00337F08"/>
    <w:rsid w:val="00340899"/>
    <w:rsid w:val="0034205C"/>
    <w:rsid w:val="003432E1"/>
    <w:rsid w:val="0034379A"/>
    <w:rsid w:val="003440C6"/>
    <w:rsid w:val="00344A5F"/>
    <w:rsid w:val="00345B2F"/>
    <w:rsid w:val="00346E8D"/>
    <w:rsid w:val="00347010"/>
    <w:rsid w:val="003471E4"/>
    <w:rsid w:val="00347E7C"/>
    <w:rsid w:val="00347F9E"/>
    <w:rsid w:val="0035088F"/>
    <w:rsid w:val="00354764"/>
    <w:rsid w:val="00354895"/>
    <w:rsid w:val="00355255"/>
    <w:rsid w:val="00355696"/>
    <w:rsid w:val="003564BF"/>
    <w:rsid w:val="00357F28"/>
    <w:rsid w:val="003602B1"/>
    <w:rsid w:val="003625A8"/>
    <w:rsid w:val="003629C1"/>
    <w:rsid w:val="0036341D"/>
    <w:rsid w:val="00363982"/>
    <w:rsid w:val="00364020"/>
    <w:rsid w:val="003643F5"/>
    <w:rsid w:val="003647CE"/>
    <w:rsid w:val="00364D48"/>
    <w:rsid w:val="003653F9"/>
    <w:rsid w:val="00366006"/>
    <w:rsid w:val="00366087"/>
    <w:rsid w:val="00366FA3"/>
    <w:rsid w:val="003673C2"/>
    <w:rsid w:val="00367DBD"/>
    <w:rsid w:val="00367EC8"/>
    <w:rsid w:val="00370398"/>
    <w:rsid w:val="00370F8F"/>
    <w:rsid w:val="00371298"/>
    <w:rsid w:val="00371472"/>
    <w:rsid w:val="00371489"/>
    <w:rsid w:val="0037172E"/>
    <w:rsid w:val="00371F25"/>
    <w:rsid w:val="003722D9"/>
    <w:rsid w:val="00373688"/>
    <w:rsid w:val="00373E68"/>
    <w:rsid w:val="00374A01"/>
    <w:rsid w:val="00374B8D"/>
    <w:rsid w:val="003752B8"/>
    <w:rsid w:val="00375C27"/>
    <w:rsid w:val="003761C9"/>
    <w:rsid w:val="003765F1"/>
    <w:rsid w:val="003778F5"/>
    <w:rsid w:val="00380ADC"/>
    <w:rsid w:val="00380F2E"/>
    <w:rsid w:val="0038148B"/>
    <w:rsid w:val="0038197E"/>
    <w:rsid w:val="00382CB0"/>
    <w:rsid w:val="00383916"/>
    <w:rsid w:val="00384578"/>
    <w:rsid w:val="0038497B"/>
    <w:rsid w:val="00384E72"/>
    <w:rsid w:val="00385F6D"/>
    <w:rsid w:val="0038796E"/>
    <w:rsid w:val="00390BBB"/>
    <w:rsid w:val="00391B2B"/>
    <w:rsid w:val="003937EE"/>
    <w:rsid w:val="0039475C"/>
    <w:rsid w:val="00394DA6"/>
    <w:rsid w:val="00394DFA"/>
    <w:rsid w:val="00395A80"/>
    <w:rsid w:val="00395AAC"/>
    <w:rsid w:val="003A19D7"/>
    <w:rsid w:val="003A1B35"/>
    <w:rsid w:val="003A2286"/>
    <w:rsid w:val="003A240D"/>
    <w:rsid w:val="003A2438"/>
    <w:rsid w:val="003A2F68"/>
    <w:rsid w:val="003A3682"/>
    <w:rsid w:val="003A5DF4"/>
    <w:rsid w:val="003A6709"/>
    <w:rsid w:val="003B1079"/>
    <w:rsid w:val="003B2C03"/>
    <w:rsid w:val="003B2D4D"/>
    <w:rsid w:val="003B2E0F"/>
    <w:rsid w:val="003B2E73"/>
    <w:rsid w:val="003B307A"/>
    <w:rsid w:val="003B3CEA"/>
    <w:rsid w:val="003B56E1"/>
    <w:rsid w:val="003B573A"/>
    <w:rsid w:val="003B7E03"/>
    <w:rsid w:val="003C262D"/>
    <w:rsid w:val="003C4C49"/>
    <w:rsid w:val="003C5F8D"/>
    <w:rsid w:val="003C6333"/>
    <w:rsid w:val="003C7557"/>
    <w:rsid w:val="003C7610"/>
    <w:rsid w:val="003C781B"/>
    <w:rsid w:val="003C7F8E"/>
    <w:rsid w:val="003D08D2"/>
    <w:rsid w:val="003D2B32"/>
    <w:rsid w:val="003D47E8"/>
    <w:rsid w:val="003D6853"/>
    <w:rsid w:val="003D7967"/>
    <w:rsid w:val="003E25D9"/>
    <w:rsid w:val="003E38F6"/>
    <w:rsid w:val="003E3DEA"/>
    <w:rsid w:val="003E4122"/>
    <w:rsid w:val="003E478F"/>
    <w:rsid w:val="003E4C51"/>
    <w:rsid w:val="003E5923"/>
    <w:rsid w:val="003E6065"/>
    <w:rsid w:val="003E6895"/>
    <w:rsid w:val="003E75D7"/>
    <w:rsid w:val="003E7D14"/>
    <w:rsid w:val="003F054A"/>
    <w:rsid w:val="003F0598"/>
    <w:rsid w:val="003F24D1"/>
    <w:rsid w:val="003F3C76"/>
    <w:rsid w:val="003F4865"/>
    <w:rsid w:val="003F5E9E"/>
    <w:rsid w:val="003F61B6"/>
    <w:rsid w:val="003F62B8"/>
    <w:rsid w:val="003F6A10"/>
    <w:rsid w:val="003F6FA0"/>
    <w:rsid w:val="003F72CE"/>
    <w:rsid w:val="004049A0"/>
    <w:rsid w:val="00404E28"/>
    <w:rsid w:val="004052D3"/>
    <w:rsid w:val="004054D7"/>
    <w:rsid w:val="004060B6"/>
    <w:rsid w:val="004064A3"/>
    <w:rsid w:val="00406A3E"/>
    <w:rsid w:val="0040721D"/>
    <w:rsid w:val="004074E0"/>
    <w:rsid w:val="0040775C"/>
    <w:rsid w:val="00407A47"/>
    <w:rsid w:val="00411794"/>
    <w:rsid w:val="004125AB"/>
    <w:rsid w:val="00415362"/>
    <w:rsid w:val="00415864"/>
    <w:rsid w:val="004160E2"/>
    <w:rsid w:val="00416A89"/>
    <w:rsid w:val="00421122"/>
    <w:rsid w:val="00421ED8"/>
    <w:rsid w:val="00422646"/>
    <w:rsid w:val="00423774"/>
    <w:rsid w:val="00424A91"/>
    <w:rsid w:val="00425158"/>
    <w:rsid w:val="00425315"/>
    <w:rsid w:val="00427747"/>
    <w:rsid w:val="0043051F"/>
    <w:rsid w:val="004308BD"/>
    <w:rsid w:val="00430C00"/>
    <w:rsid w:val="00430E77"/>
    <w:rsid w:val="00431149"/>
    <w:rsid w:val="00431655"/>
    <w:rsid w:val="00431DB5"/>
    <w:rsid w:val="00432D40"/>
    <w:rsid w:val="00433294"/>
    <w:rsid w:val="00433929"/>
    <w:rsid w:val="00434539"/>
    <w:rsid w:val="004346C4"/>
    <w:rsid w:val="00434B85"/>
    <w:rsid w:val="00434D62"/>
    <w:rsid w:val="004354B8"/>
    <w:rsid w:val="00435525"/>
    <w:rsid w:val="004357BD"/>
    <w:rsid w:val="00442996"/>
    <w:rsid w:val="00443253"/>
    <w:rsid w:val="004437AC"/>
    <w:rsid w:val="004441E7"/>
    <w:rsid w:val="004467DD"/>
    <w:rsid w:val="004468D1"/>
    <w:rsid w:val="004469B0"/>
    <w:rsid w:val="00447701"/>
    <w:rsid w:val="004517E5"/>
    <w:rsid w:val="00451D45"/>
    <w:rsid w:val="00452262"/>
    <w:rsid w:val="00452391"/>
    <w:rsid w:val="00453044"/>
    <w:rsid w:val="00453167"/>
    <w:rsid w:val="004532B2"/>
    <w:rsid w:val="004544D9"/>
    <w:rsid w:val="00454E46"/>
    <w:rsid w:val="004560BE"/>
    <w:rsid w:val="00456208"/>
    <w:rsid w:val="00457EA9"/>
    <w:rsid w:val="00460432"/>
    <w:rsid w:val="00460ECD"/>
    <w:rsid w:val="00461AB6"/>
    <w:rsid w:val="004630F0"/>
    <w:rsid w:val="00463C59"/>
    <w:rsid w:val="004644FB"/>
    <w:rsid w:val="00464CA4"/>
    <w:rsid w:val="00465B21"/>
    <w:rsid w:val="004708D2"/>
    <w:rsid w:val="004714AC"/>
    <w:rsid w:val="004729FA"/>
    <w:rsid w:val="00472B43"/>
    <w:rsid w:val="00473A3E"/>
    <w:rsid w:val="00474746"/>
    <w:rsid w:val="00474B33"/>
    <w:rsid w:val="00475B99"/>
    <w:rsid w:val="00475D09"/>
    <w:rsid w:val="00481974"/>
    <w:rsid w:val="00482178"/>
    <w:rsid w:val="00482526"/>
    <w:rsid w:val="00483D00"/>
    <w:rsid w:val="00485097"/>
    <w:rsid w:val="00485D0D"/>
    <w:rsid w:val="004862CA"/>
    <w:rsid w:val="00486508"/>
    <w:rsid w:val="004877A9"/>
    <w:rsid w:val="004902F7"/>
    <w:rsid w:val="00490473"/>
    <w:rsid w:val="00490DD9"/>
    <w:rsid w:val="00491A6D"/>
    <w:rsid w:val="00491DAA"/>
    <w:rsid w:val="00491E5B"/>
    <w:rsid w:val="004921C5"/>
    <w:rsid w:val="00492D09"/>
    <w:rsid w:val="004957FD"/>
    <w:rsid w:val="00496698"/>
    <w:rsid w:val="004A14EF"/>
    <w:rsid w:val="004A1A55"/>
    <w:rsid w:val="004A1EB8"/>
    <w:rsid w:val="004A2E2F"/>
    <w:rsid w:val="004A3430"/>
    <w:rsid w:val="004A419A"/>
    <w:rsid w:val="004A5466"/>
    <w:rsid w:val="004A5A49"/>
    <w:rsid w:val="004A5E63"/>
    <w:rsid w:val="004A6EFA"/>
    <w:rsid w:val="004A7EF6"/>
    <w:rsid w:val="004B39FF"/>
    <w:rsid w:val="004B43A6"/>
    <w:rsid w:val="004B6433"/>
    <w:rsid w:val="004B6A07"/>
    <w:rsid w:val="004B748B"/>
    <w:rsid w:val="004C0BAD"/>
    <w:rsid w:val="004C0E61"/>
    <w:rsid w:val="004C106C"/>
    <w:rsid w:val="004C26F1"/>
    <w:rsid w:val="004C426E"/>
    <w:rsid w:val="004C442A"/>
    <w:rsid w:val="004C466B"/>
    <w:rsid w:val="004C4903"/>
    <w:rsid w:val="004C4914"/>
    <w:rsid w:val="004C4B30"/>
    <w:rsid w:val="004C52E0"/>
    <w:rsid w:val="004C5D8F"/>
    <w:rsid w:val="004C7455"/>
    <w:rsid w:val="004C7CD4"/>
    <w:rsid w:val="004D133B"/>
    <w:rsid w:val="004D2000"/>
    <w:rsid w:val="004D2CEB"/>
    <w:rsid w:val="004D3D49"/>
    <w:rsid w:val="004D411A"/>
    <w:rsid w:val="004D4DB1"/>
    <w:rsid w:val="004D5681"/>
    <w:rsid w:val="004D77EE"/>
    <w:rsid w:val="004E0F59"/>
    <w:rsid w:val="004E1453"/>
    <w:rsid w:val="004E1CF4"/>
    <w:rsid w:val="004E1E88"/>
    <w:rsid w:val="004E1EB2"/>
    <w:rsid w:val="004E2872"/>
    <w:rsid w:val="004E2C33"/>
    <w:rsid w:val="004E3A6C"/>
    <w:rsid w:val="004E3E1A"/>
    <w:rsid w:val="004E7A82"/>
    <w:rsid w:val="004F0BF2"/>
    <w:rsid w:val="004F2AB0"/>
    <w:rsid w:val="004F2FAB"/>
    <w:rsid w:val="004F33B4"/>
    <w:rsid w:val="004F4D38"/>
    <w:rsid w:val="004F5447"/>
    <w:rsid w:val="00500508"/>
    <w:rsid w:val="005006B7"/>
    <w:rsid w:val="005014F2"/>
    <w:rsid w:val="005015AE"/>
    <w:rsid w:val="00501AED"/>
    <w:rsid w:val="005020D9"/>
    <w:rsid w:val="00503FBE"/>
    <w:rsid w:val="00503FC7"/>
    <w:rsid w:val="00504880"/>
    <w:rsid w:val="00504C8A"/>
    <w:rsid w:val="005061E9"/>
    <w:rsid w:val="005101F1"/>
    <w:rsid w:val="00510750"/>
    <w:rsid w:val="00510CE1"/>
    <w:rsid w:val="0051316E"/>
    <w:rsid w:val="0051336A"/>
    <w:rsid w:val="00513B4A"/>
    <w:rsid w:val="00514DC3"/>
    <w:rsid w:val="00517544"/>
    <w:rsid w:val="00521257"/>
    <w:rsid w:val="00521B62"/>
    <w:rsid w:val="00522344"/>
    <w:rsid w:val="00522813"/>
    <w:rsid w:val="005229AE"/>
    <w:rsid w:val="00522A3C"/>
    <w:rsid w:val="00523079"/>
    <w:rsid w:val="0052408F"/>
    <w:rsid w:val="005273B3"/>
    <w:rsid w:val="00527C96"/>
    <w:rsid w:val="00530761"/>
    <w:rsid w:val="00530D3C"/>
    <w:rsid w:val="00530F1C"/>
    <w:rsid w:val="00531BAD"/>
    <w:rsid w:val="00531DCE"/>
    <w:rsid w:val="0053259B"/>
    <w:rsid w:val="00533EF7"/>
    <w:rsid w:val="00534655"/>
    <w:rsid w:val="00534B0D"/>
    <w:rsid w:val="00536A19"/>
    <w:rsid w:val="00536ABE"/>
    <w:rsid w:val="00537E10"/>
    <w:rsid w:val="005401A6"/>
    <w:rsid w:val="005402C1"/>
    <w:rsid w:val="00540CE0"/>
    <w:rsid w:val="0054132B"/>
    <w:rsid w:val="005428EB"/>
    <w:rsid w:val="00542FFB"/>
    <w:rsid w:val="00544A7C"/>
    <w:rsid w:val="00545027"/>
    <w:rsid w:val="0054550D"/>
    <w:rsid w:val="005460D2"/>
    <w:rsid w:val="00546A6D"/>
    <w:rsid w:val="00547AEE"/>
    <w:rsid w:val="00551982"/>
    <w:rsid w:val="00552931"/>
    <w:rsid w:val="00553EE1"/>
    <w:rsid w:val="00554D13"/>
    <w:rsid w:val="0055564F"/>
    <w:rsid w:val="005574FD"/>
    <w:rsid w:val="00560166"/>
    <w:rsid w:val="00560628"/>
    <w:rsid w:val="00560963"/>
    <w:rsid w:val="00562239"/>
    <w:rsid w:val="005632ED"/>
    <w:rsid w:val="00563770"/>
    <w:rsid w:val="00563AC3"/>
    <w:rsid w:val="00564685"/>
    <w:rsid w:val="005649D3"/>
    <w:rsid w:val="00564B6A"/>
    <w:rsid w:val="0056514D"/>
    <w:rsid w:val="00566C6A"/>
    <w:rsid w:val="00566D52"/>
    <w:rsid w:val="00571AAD"/>
    <w:rsid w:val="00572D3F"/>
    <w:rsid w:val="00572DD3"/>
    <w:rsid w:val="00574DF5"/>
    <w:rsid w:val="00575B34"/>
    <w:rsid w:val="00577103"/>
    <w:rsid w:val="0058022B"/>
    <w:rsid w:val="00580C51"/>
    <w:rsid w:val="00581213"/>
    <w:rsid w:val="0058210F"/>
    <w:rsid w:val="00582128"/>
    <w:rsid w:val="00582371"/>
    <w:rsid w:val="00582938"/>
    <w:rsid w:val="00582A7F"/>
    <w:rsid w:val="005837BD"/>
    <w:rsid w:val="00583BAB"/>
    <w:rsid w:val="00584543"/>
    <w:rsid w:val="0058486F"/>
    <w:rsid w:val="00584A32"/>
    <w:rsid w:val="00584EE2"/>
    <w:rsid w:val="005865B3"/>
    <w:rsid w:val="005866FD"/>
    <w:rsid w:val="0058690A"/>
    <w:rsid w:val="00590058"/>
    <w:rsid w:val="005912A9"/>
    <w:rsid w:val="005919A5"/>
    <w:rsid w:val="00592466"/>
    <w:rsid w:val="0059315C"/>
    <w:rsid w:val="00593C25"/>
    <w:rsid w:val="00594218"/>
    <w:rsid w:val="0059537D"/>
    <w:rsid w:val="00596BB1"/>
    <w:rsid w:val="00597C6B"/>
    <w:rsid w:val="005A007D"/>
    <w:rsid w:val="005A1762"/>
    <w:rsid w:val="005A1995"/>
    <w:rsid w:val="005A1B60"/>
    <w:rsid w:val="005A35A3"/>
    <w:rsid w:val="005A3825"/>
    <w:rsid w:val="005A4CCA"/>
    <w:rsid w:val="005A4E76"/>
    <w:rsid w:val="005A5420"/>
    <w:rsid w:val="005A5554"/>
    <w:rsid w:val="005A7126"/>
    <w:rsid w:val="005A75D8"/>
    <w:rsid w:val="005A7648"/>
    <w:rsid w:val="005B1958"/>
    <w:rsid w:val="005B2E27"/>
    <w:rsid w:val="005B3981"/>
    <w:rsid w:val="005B3ECA"/>
    <w:rsid w:val="005B4684"/>
    <w:rsid w:val="005B4B8D"/>
    <w:rsid w:val="005B50FA"/>
    <w:rsid w:val="005B53A3"/>
    <w:rsid w:val="005B5628"/>
    <w:rsid w:val="005B7B09"/>
    <w:rsid w:val="005B7D27"/>
    <w:rsid w:val="005C0290"/>
    <w:rsid w:val="005C0B54"/>
    <w:rsid w:val="005C1A54"/>
    <w:rsid w:val="005C1F08"/>
    <w:rsid w:val="005C22D4"/>
    <w:rsid w:val="005C25C1"/>
    <w:rsid w:val="005C2A97"/>
    <w:rsid w:val="005C4E2D"/>
    <w:rsid w:val="005C6081"/>
    <w:rsid w:val="005C6622"/>
    <w:rsid w:val="005C69F4"/>
    <w:rsid w:val="005C6F58"/>
    <w:rsid w:val="005C70C2"/>
    <w:rsid w:val="005C7766"/>
    <w:rsid w:val="005C7F55"/>
    <w:rsid w:val="005D1C17"/>
    <w:rsid w:val="005D1DCD"/>
    <w:rsid w:val="005D225D"/>
    <w:rsid w:val="005D45C8"/>
    <w:rsid w:val="005D4845"/>
    <w:rsid w:val="005D49CA"/>
    <w:rsid w:val="005D524E"/>
    <w:rsid w:val="005D7E6F"/>
    <w:rsid w:val="005E025C"/>
    <w:rsid w:val="005E2035"/>
    <w:rsid w:val="005E2096"/>
    <w:rsid w:val="005E212F"/>
    <w:rsid w:val="005E2133"/>
    <w:rsid w:val="005E332C"/>
    <w:rsid w:val="005E38F6"/>
    <w:rsid w:val="005E458B"/>
    <w:rsid w:val="005E4D29"/>
    <w:rsid w:val="005E59CB"/>
    <w:rsid w:val="005E7471"/>
    <w:rsid w:val="005E7AF3"/>
    <w:rsid w:val="005E7D8D"/>
    <w:rsid w:val="005F02DE"/>
    <w:rsid w:val="005F07C4"/>
    <w:rsid w:val="005F1483"/>
    <w:rsid w:val="005F1AAE"/>
    <w:rsid w:val="005F1F27"/>
    <w:rsid w:val="005F287A"/>
    <w:rsid w:val="005F34B7"/>
    <w:rsid w:val="005F392A"/>
    <w:rsid w:val="005F5A19"/>
    <w:rsid w:val="005F5BCD"/>
    <w:rsid w:val="005F5F55"/>
    <w:rsid w:val="005F6928"/>
    <w:rsid w:val="005F6C4C"/>
    <w:rsid w:val="00600666"/>
    <w:rsid w:val="006012C6"/>
    <w:rsid w:val="0060209E"/>
    <w:rsid w:val="006025BF"/>
    <w:rsid w:val="00602D7E"/>
    <w:rsid w:val="0060342B"/>
    <w:rsid w:val="006040AC"/>
    <w:rsid w:val="006042D5"/>
    <w:rsid w:val="00604C81"/>
    <w:rsid w:val="006052BD"/>
    <w:rsid w:val="00605940"/>
    <w:rsid w:val="00605E6B"/>
    <w:rsid w:val="00611A6E"/>
    <w:rsid w:val="00616252"/>
    <w:rsid w:val="006171AD"/>
    <w:rsid w:val="00617A7B"/>
    <w:rsid w:val="00620B35"/>
    <w:rsid w:val="0062146E"/>
    <w:rsid w:val="006214FA"/>
    <w:rsid w:val="006219D7"/>
    <w:rsid w:val="00622C2C"/>
    <w:rsid w:val="00623139"/>
    <w:rsid w:val="00623CD4"/>
    <w:rsid w:val="00623D64"/>
    <w:rsid w:val="0062488E"/>
    <w:rsid w:val="00626B24"/>
    <w:rsid w:val="006270A8"/>
    <w:rsid w:val="006279E6"/>
    <w:rsid w:val="00627A89"/>
    <w:rsid w:val="00630178"/>
    <w:rsid w:val="006304DE"/>
    <w:rsid w:val="00631349"/>
    <w:rsid w:val="00631FB6"/>
    <w:rsid w:val="00632B25"/>
    <w:rsid w:val="006331F8"/>
    <w:rsid w:val="006334DF"/>
    <w:rsid w:val="00634AAC"/>
    <w:rsid w:val="00634B71"/>
    <w:rsid w:val="006354A4"/>
    <w:rsid w:val="00635CCC"/>
    <w:rsid w:val="00636252"/>
    <w:rsid w:val="0063669F"/>
    <w:rsid w:val="00640544"/>
    <w:rsid w:val="006417C3"/>
    <w:rsid w:val="00641DDE"/>
    <w:rsid w:val="0064297A"/>
    <w:rsid w:val="00644768"/>
    <w:rsid w:val="00644ADE"/>
    <w:rsid w:val="006452AA"/>
    <w:rsid w:val="00645B66"/>
    <w:rsid w:val="00650D34"/>
    <w:rsid w:val="00651F93"/>
    <w:rsid w:val="00653123"/>
    <w:rsid w:val="006542E8"/>
    <w:rsid w:val="00654673"/>
    <w:rsid w:val="00654AC9"/>
    <w:rsid w:val="0065664F"/>
    <w:rsid w:val="00656852"/>
    <w:rsid w:val="00656D24"/>
    <w:rsid w:val="006612D7"/>
    <w:rsid w:val="006626BD"/>
    <w:rsid w:val="0066287B"/>
    <w:rsid w:val="00663744"/>
    <w:rsid w:val="00665649"/>
    <w:rsid w:val="006662D8"/>
    <w:rsid w:val="00667684"/>
    <w:rsid w:val="0067266B"/>
    <w:rsid w:val="0067272B"/>
    <w:rsid w:val="006736D9"/>
    <w:rsid w:val="00673B31"/>
    <w:rsid w:val="00674402"/>
    <w:rsid w:val="00674686"/>
    <w:rsid w:val="0067503A"/>
    <w:rsid w:val="0067678A"/>
    <w:rsid w:val="00677547"/>
    <w:rsid w:val="0067754B"/>
    <w:rsid w:val="00680542"/>
    <w:rsid w:val="00680991"/>
    <w:rsid w:val="00682973"/>
    <w:rsid w:val="006836E7"/>
    <w:rsid w:val="00683AB7"/>
    <w:rsid w:val="00684769"/>
    <w:rsid w:val="00684D6F"/>
    <w:rsid w:val="00684F1D"/>
    <w:rsid w:val="00684F26"/>
    <w:rsid w:val="00685DE0"/>
    <w:rsid w:val="00686789"/>
    <w:rsid w:val="00686941"/>
    <w:rsid w:val="006877B8"/>
    <w:rsid w:val="0069117C"/>
    <w:rsid w:val="00692BFC"/>
    <w:rsid w:val="00693365"/>
    <w:rsid w:val="006934FB"/>
    <w:rsid w:val="00693764"/>
    <w:rsid w:val="00693B1C"/>
    <w:rsid w:val="00695812"/>
    <w:rsid w:val="00695DFC"/>
    <w:rsid w:val="0069793B"/>
    <w:rsid w:val="00697D81"/>
    <w:rsid w:val="006A024E"/>
    <w:rsid w:val="006A0F54"/>
    <w:rsid w:val="006A19E3"/>
    <w:rsid w:val="006A3532"/>
    <w:rsid w:val="006A567E"/>
    <w:rsid w:val="006A63EB"/>
    <w:rsid w:val="006A6B2F"/>
    <w:rsid w:val="006B1650"/>
    <w:rsid w:val="006B18D6"/>
    <w:rsid w:val="006B1F36"/>
    <w:rsid w:val="006B348F"/>
    <w:rsid w:val="006B5472"/>
    <w:rsid w:val="006B5ACC"/>
    <w:rsid w:val="006B685A"/>
    <w:rsid w:val="006B7D7B"/>
    <w:rsid w:val="006C0082"/>
    <w:rsid w:val="006C0466"/>
    <w:rsid w:val="006C16E3"/>
    <w:rsid w:val="006C1D38"/>
    <w:rsid w:val="006C2778"/>
    <w:rsid w:val="006C28AE"/>
    <w:rsid w:val="006C2984"/>
    <w:rsid w:val="006C3112"/>
    <w:rsid w:val="006C3508"/>
    <w:rsid w:val="006C3C04"/>
    <w:rsid w:val="006C5BED"/>
    <w:rsid w:val="006C67ED"/>
    <w:rsid w:val="006C6AC1"/>
    <w:rsid w:val="006C74B5"/>
    <w:rsid w:val="006D3387"/>
    <w:rsid w:val="006D577F"/>
    <w:rsid w:val="006D6358"/>
    <w:rsid w:val="006D6A2E"/>
    <w:rsid w:val="006D6C43"/>
    <w:rsid w:val="006D7C98"/>
    <w:rsid w:val="006E018E"/>
    <w:rsid w:val="006E0CAE"/>
    <w:rsid w:val="006E1103"/>
    <w:rsid w:val="006E1538"/>
    <w:rsid w:val="006E1A61"/>
    <w:rsid w:val="006E211E"/>
    <w:rsid w:val="006E2121"/>
    <w:rsid w:val="006E25A5"/>
    <w:rsid w:val="006E2D93"/>
    <w:rsid w:val="006E35C2"/>
    <w:rsid w:val="006E3692"/>
    <w:rsid w:val="006E3E3F"/>
    <w:rsid w:val="006E3F04"/>
    <w:rsid w:val="006E3F10"/>
    <w:rsid w:val="006E55E9"/>
    <w:rsid w:val="006E6472"/>
    <w:rsid w:val="006E6FC5"/>
    <w:rsid w:val="006F0F97"/>
    <w:rsid w:val="006F0FA0"/>
    <w:rsid w:val="006F1502"/>
    <w:rsid w:val="006F30AB"/>
    <w:rsid w:val="006F355C"/>
    <w:rsid w:val="006F4C55"/>
    <w:rsid w:val="006F618F"/>
    <w:rsid w:val="006F63C3"/>
    <w:rsid w:val="006F7070"/>
    <w:rsid w:val="006F72C5"/>
    <w:rsid w:val="007002FA"/>
    <w:rsid w:val="007015EF"/>
    <w:rsid w:val="0070184F"/>
    <w:rsid w:val="00701CDA"/>
    <w:rsid w:val="00701DA3"/>
    <w:rsid w:val="00702342"/>
    <w:rsid w:val="00705583"/>
    <w:rsid w:val="0070565A"/>
    <w:rsid w:val="00706764"/>
    <w:rsid w:val="007117A0"/>
    <w:rsid w:val="0071196A"/>
    <w:rsid w:val="00712A58"/>
    <w:rsid w:val="00713906"/>
    <w:rsid w:val="00714BDD"/>
    <w:rsid w:val="00714DE8"/>
    <w:rsid w:val="00715E02"/>
    <w:rsid w:val="00716951"/>
    <w:rsid w:val="007169FD"/>
    <w:rsid w:val="00717932"/>
    <w:rsid w:val="0072042D"/>
    <w:rsid w:val="00721D69"/>
    <w:rsid w:val="007221D3"/>
    <w:rsid w:val="00723ACF"/>
    <w:rsid w:val="00723B2C"/>
    <w:rsid w:val="00724420"/>
    <w:rsid w:val="00724633"/>
    <w:rsid w:val="00724EF6"/>
    <w:rsid w:val="0072670D"/>
    <w:rsid w:val="00731BBC"/>
    <w:rsid w:val="00731D2C"/>
    <w:rsid w:val="00732B77"/>
    <w:rsid w:val="00733349"/>
    <w:rsid w:val="00734403"/>
    <w:rsid w:val="007344D2"/>
    <w:rsid w:val="007345A5"/>
    <w:rsid w:val="00734862"/>
    <w:rsid w:val="00735F26"/>
    <w:rsid w:val="00737345"/>
    <w:rsid w:val="007373AB"/>
    <w:rsid w:val="00737B6D"/>
    <w:rsid w:val="00741CFA"/>
    <w:rsid w:val="00744CEA"/>
    <w:rsid w:val="00744E39"/>
    <w:rsid w:val="00745806"/>
    <w:rsid w:val="00745AEC"/>
    <w:rsid w:val="00746C53"/>
    <w:rsid w:val="00747FF8"/>
    <w:rsid w:val="0075206C"/>
    <w:rsid w:val="00752665"/>
    <w:rsid w:val="007532DC"/>
    <w:rsid w:val="00753CBE"/>
    <w:rsid w:val="00754D29"/>
    <w:rsid w:val="00755709"/>
    <w:rsid w:val="00755AD2"/>
    <w:rsid w:val="00756101"/>
    <w:rsid w:val="0075670A"/>
    <w:rsid w:val="0075698D"/>
    <w:rsid w:val="00757158"/>
    <w:rsid w:val="0075751E"/>
    <w:rsid w:val="00757C32"/>
    <w:rsid w:val="00757DA5"/>
    <w:rsid w:val="00760784"/>
    <w:rsid w:val="007616A0"/>
    <w:rsid w:val="00761A3D"/>
    <w:rsid w:val="00761E96"/>
    <w:rsid w:val="00761FDF"/>
    <w:rsid w:val="00762D22"/>
    <w:rsid w:val="007633C0"/>
    <w:rsid w:val="00763A3B"/>
    <w:rsid w:val="007640DA"/>
    <w:rsid w:val="00765155"/>
    <w:rsid w:val="0076577A"/>
    <w:rsid w:val="007657DE"/>
    <w:rsid w:val="0076661E"/>
    <w:rsid w:val="00766B3A"/>
    <w:rsid w:val="007671DF"/>
    <w:rsid w:val="0076770C"/>
    <w:rsid w:val="00770231"/>
    <w:rsid w:val="00770591"/>
    <w:rsid w:val="00771790"/>
    <w:rsid w:val="00771AC4"/>
    <w:rsid w:val="00772A6E"/>
    <w:rsid w:val="007733F6"/>
    <w:rsid w:val="00776CB5"/>
    <w:rsid w:val="0077730A"/>
    <w:rsid w:val="007802DB"/>
    <w:rsid w:val="0078030A"/>
    <w:rsid w:val="00780852"/>
    <w:rsid w:val="00781E5B"/>
    <w:rsid w:val="00782297"/>
    <w:rsid w:val="007823BF"/>
    <w:rsid w:val="0078276F"/>
    <w:rsid w:val="007828EA"/>
    <w:rsid w:val="00782DEC"/>
    <w:rsid w:val="007831EB"/>
    <w:rsid w:val="0078489E"/>
    <w:rsid w:val="00785F89"/>
    <w:rsid w:val="00785FE1"/>
    <w:rsid w:val="007864AF"/>
    <w:rsid w:val="00786E19"/>
    <w:rsid w:val="00791427"/>
    <w:rsid w:val="00791CCB"/>
    <w:rsid w:val="007922A9"/>
    <w:rsid w:val="007939D0"/>
    <w:rsid w:val="0079423D"/>
    <w:rsid w:val="0079442E"/>
    <w:rsid w:val="00794C7D"/>
    <w:rsid w:val="00795D65"/>
    <w:rsid w:val="00795E31"/>
    <w:rsid w:val="0079619A"/>
    <w:rsid w:val="00796A68"/>
    <w:rsid w:val="00796EED"/>
    <w:rsid w:val="007971A4"/>
    <w:rsid w:val="007A0708"/>
    <w:rsid w:val="007A1CC1"/>
    <w:rsid w:val="007A2FA2"/>
    <w:rsid w:val="007A37C4"/>
    <w:rsid w:val="007A4CF2"/>
    <w:rsid w:val="007A532B"/>
    <w:rsid w:val="007A5801"/>
    <w:rsid w:val="007A5812"/>
    <w:rsid w:val="007A592B"/>
    <w:rsid w:val="007A5E6A"/>
    <w:rsid w:val="007A6AA3"/>
    <w:rsid w:val="007A6B08"/>
    <w:rsid w:val="007A6E8C"/>
    <w:rsid w:val="007A7045"/>
    <w:rsid w:val="007A72AD"/>
    <w:rsid w:val="007B2620"/>
    <w:rsid w:val="007B275B"/>
    <w:rsid w:val="007B2E7D"/>
    <w:rsid w:val="007B64E2"/>
    <w:rsid w:val="007B6559"/>
    <w:rsid w:val="007B66CF"/>
    <w:rsid w:val="007B6BD1"/>
    <w:rsid w:val="007C0696"/>
    <w:rsid w:val="007C069D"/>
    <w:rsid w:val="007C0CB4"/>
    <w:rsid w:val="007C120E"/>
    <w:rsid w:val="007C162F"/>
    <w:rsid w:val="007C35D1"/>
    <w:rsid w:val="007C4029"/>
    <w:rsid w:val="007C4F36"/>
    <w:rsid w:val="007C5F2A"/>
    <w:rsid w:val="007C67FE"/>
    <w:rsid w:val="007C7F72"/>
    <w:rsid w:val="007D09C2"/>
    <w:rsid w:val="007D151F"/>
    <w:rsid w:val="007D1EA2"/>
    <w:rsid w:val="007D2AEA"/>
    <w:rsid w:val="007D3B97"/>
    <w:rsid w:val="007D3BE7"/>
    <w:rsid w:val="007D3E66"/>
    <w:rsid w:val="007D4337"/>
    <w:rsid w:val="007D5D49"/>
    <w:rsid w:val="007D704E"/>
    <w:rsid w:val="007D7361"/>
    <w:rsid w:val="007D739E"/>
    <w:rsid w:val="007D7B5D"/>
    <w:rsid w:val="007E1005"/>
    <w:rsid w:val="007E2BBC"/>
    <w:rsid w:val="007E3929"/>
    <w:rsid w:val="007E3996"/>
    <w:rsid w:val="007E5C9A"/>
    <w:rsid w:val="007E621D"/>
    <w:rsid w:val="007E7B36"/>
    <w:rsid w:val="007E7FE6"/>
    <w:rsid w:val="007F0FBC"/>
    <w:rsid w:val="007F24E6"/>
    <w:rsid w:val="007F2B13"/>
    <w:rsid w:val="007F4B34"/>
    <w:rsid w:val="007F79D9"/>
    <w:rsid w:val="008006B3"/>
    <w:rsid w:val="00800CBB"/>
    <w:rsid w:val="008018EC"/>
    <w:rsid w:val="00802154"/>
    <w:rsid w:val="00802244"/>
    <w:rsid w:val="00802D27"/>
    <w:rsid w:val="0080505A"/>
    <w:rsid w:val="00805BC2"/>
    <w:rsid w:val="00806414"/>
    <w:rsid w:val="0081049C"/>
    <w:rsid w:val="00810577"/>
    <w:rsid w:val="008125D4"/>
    <w:rsid w:val="00812659"/>
    <w:rsid w:val="00812756"/>
    <w:rsid w:val="00812DF2"/>
    <w:rsid w:val="0081415E"/>
    <w:rsid w:val="00814B50"/>
    <w:rsid w:val="00815221"/>
    <w:rsid w:val="008152C0"/>
    <w:rsid w:val="00817E72"/>
    <w:rsid w:val="008204C9"/>
    <w:rsid w:val="00820EC6"/>
    <w:rsid w:val="00821489"/>
    <w:rsid w:val="00821F2F"/>
    <w:rsid w:val="00823211"/>
    <w:rsid w:val="00823CED"/>
    <w:rsid w:val="00824247"/>
    <w:rsid w:val="008244AE"/>
    <w:rsid w:val="00824D7D"/>
    <w:rsid w:val="00824DD1"/>
    <w:rsid w:val="00826DA0"/>
    <w:rsid w:val="00826F4C"/>
    <w:rsid w:val="00831A53"/>
    <w:rsid w:val="008347A3"/>
    <w:rsid w:val="00834CCA"/>
    <w:rsid w:val="008352AE"/>
    <w:rsid w:val="008368D0"/>
    <w:rsid w:val="0083726C"/>
    <w:rsid w:val="008373A4"/>
    <w:rsid w:val="00837A0E"/>
    <w:rsid w:val="00841B34"/>
    <w:rsid w:val="0084285A"/>
    <w:rsid w:val="00843819"/>
    <w:rsid w:val="00843889"/>
    <w:rsid w:val="00843A7F"/>
    <w:rsid w:val="00843E46"/>
    <w:rsid w:val="008440B5"/>
    <w:rsid w:val="00846FCD"/>
    <w:rsid w:val="00850302"/>
    <w:rsid w:val="008504D6"/>
    <w:rsid w:val="00850C88"/>
    <w:rsid w:val="00852895"/>
    <w:rsid w:val="008530F3"/>
    <w:rsid w:val="008535E4"/>
    <w:rsid w:val="00854196"/>
    <w:rsid w:val="0085436A"/>
    <w:rsid w:val="0085442E"/>
    <w:rsid w:val="008572D3"/>
    <w:rsid w:val="008577E7"/>
    <w:rsid w:val="00857CE5"/>
    <w:rsid w:val="0086024A"/>
    <w:rsid w:val="00860253"/>
    <w:rsid w:val="008604C3"/>
    <w:rsid w:val="0086180C"/>
    <w:rsid w:val="00861FC0"/>
    <w:rsid w:val="0086294F"/>
    <w:rsid w:val="00863270"/>
    <w:rsid w:val="00863417"/>
    <w:rsid w:val="00864486"/>
    <w:rsid w:val="00864565"/>
    <w:rsid w:val="00866175"/>
    <w:rsid w:val="00866F7B"/>
    <w:rsid w:val="008703B3"/>
    <w:rsid w:val="008704F2"/>
    <w:rsid w:val="00870EE9"/>
    <w:rsid w:val="00870F75"/>
    <w:rsid w:val="00873002"/>
    <w:rsid w:val="0087302A"/>
    <w:rsid w:val="008738C7"/>
    <w:rsid w:val="00873972"/>
    <w:rsid w:val="008748CF"/>
    <w:rsid w:val="008756B3"/>
    <w:rsid w:val="00876B22"/>
    <w:rsid w:val="00880D87"/>
    <w:rsid w:val="008825B2"/>
    <w:rsid w:val="00882802"/>
    <w:rsid w:val="00882F14"/>
    <w:rsid w:val="008835AF"/>
    <w:rsid w:val="0088434D"/>
    <w:rsid w:val="00884925"/>
    <w:rsid w:val="00885767"/>
    <w:rsid w:val="00886B43"/>
    <w:rsid w:val="008900B2"/>
    <w:rsid w:val="00890AEF"/>
    <w:rsid w:val="008928E1"/>
    <w:rsid w:val="008930AE"/>
    <w:rsid w:val="00893747"/>
    <w:rsid w:val="008938B1"/>
    <w:rsid w:val="00893F91"/>
    <w:rsid w:val="0089437F"/>
    <w:rsid w:val="00894C72"/>
    <w:rsid w:val="00897BC6"/>
    <w:rsid w:val="008A0551"/>
    <w:rsid w:val="008A0620"/>
    <w:rsid w:val="008A0706"/>
    <w:rsid w:val="008A1233"/>
    <w:rsid w:val="008A197C"/>
    <w:rsid w:val="008A1F66"/>
    <w:rsid w:val="008A2E4B"/>
    <w:rsid w:val="008A35CA"/>
    <w:rsid w:val="008A4536"/>
    <w:rsid w:val="008A6239"/>
    <w:rsid w:val="008A63CA"/>
    <w:rsid w:val="008A6886"/>
    <w:rsid w:val="008A6E4C"/>
    <w:rsid w:val="008A7387"/>
    <w:rsid w:val="008A7468"/>
    <w:rsid w:val="008B0F23"/>
    <w:rsid w:val="008B132B"/>
    <w:rsid w:val="008B3C21"/>
    <w:rsid w:val="008B6223"/>
    <w:rsid w:val="008C17C5"/>
    <w:rsid w:val="008C2956"/>
    <w:rsid w:val="008C36FD"/>
    <w:rsid w:val="008C42AD"/>
    <w:rsid w:val="008C449C"/>
    <w:rsid w:val="008C5360"/>
    <w:rsid w:val="008C581A"/>
    <w:rsid w:val="008C7D78"/>
    <w:rsid w:val="008D20FF"/>
    <w:rsid w:val="008D36E4"/>
    <w:rsid w:val="008D4154"/>
    <w:rsid w:val="008D4B0B"/>
    <w:rsid w:val="008D5018"/>
    <w:rsid w:val="008D5CA5"/>
    <w:rsid w:val="008D6FD6"/>
    <w:rsid w:val="008E419A"/>
    <w:rsid w:val="008E5214"/>
    <w:rsid w:val="008E6217"/>
    <w:rsid w:val="008E63E0"/>
    <w:rsid w:val="008E6587"/>
    <w:rsid w:val="008E6CE2"/>
    <w:rsid w:val="008E6F83"/>
    <w:rsid w:val="008E7DE2"/>
    <w:rsid w:val="008F0E08"/>
    <w:rsid w:val="008F132E"/>
    <w:rsid w:val="008F264E"/>
    <w:rsid w:val="008F32F6"/>
    <w:rsid w:val="008F3549"/>
    <w:rsid w:val="008F3B28"/>
    <w:rsid w:val="008F3E50"/>
    <w:rsid w:val="008F449A"/>
    <w:rsid w:val="008F48EB"/>
    <w:rsid w:val="008F4C3A"/>
    <w:rsid w:val="008F5D19"/>
    <w:rsid w:val="008F6930"/>
    <w:rsid w:val="008F6AE8"/>
    <w:rsid w:val="008F74F9"/>
    <w:rsid w:val="008F7635"/>
    <w:rsid w:val="008F78D2"/>
    <w:rsid w:val="0090240B"/>
    <w:rsid w:val="00902F9C"/>
    <w:rsid w:val="00903594"/>
    <w:rsid w:val="00904540"/>
    <w:rsid w:val="0090482B"/>
    <w:rsid w:val="00904CC5"/>
    <w:rsid w:val="009051C8"/>
    <w:rsid w:val="009052BA"/>
    <w:rsid w:val="00906701"/>
    <w:rsid w:val="00910033"/>
    <w:rsid w:val="0091036B"/>
    <w:rsid w:val="00911CD9"/>
    <w:rsid w:val="00912C4C"/>
    <w:rsid w:val="00913724"/>
    <w:rsid w:val="009138E5"/>
    <w:rsid w:val="00915B8E"/>
    <w:rsid w:val="00915EC3"/>
    <w:rsid w:val="00916B7E"/>
    <w:rsid w:val="00921422"/>
    <w:rsid w:val="00921A0C"/>
    <w:rsid w:val="00921C25"/>
    <w:rsid w:val="00921C5B"/>
    <w:rsid w:val="0092235E"/>
    <w:rsid w:val="009225A1"/>
    <w:rsid w:val="00923281"/>
    <w:rsid w:val="00923467"/>
    <w:rsid w:val="00924CEA"/>
    <w:rsid w:val="00925A15"/>
    <w:rsid w:val="00926E67"/>
    <w:rsid w:val="00927231"/>
    <w:rsid w:val="00927E4D"/>
    <w:rsid w:val="0093037D"/>
    <w:rsid w:val="009306F4"/>
    <w:rsid w:val="009319B6"/>
    <w:rsid w:val="00932C90"/>
    <w:rsid w:val="009334AA"/>
    <w:rsid w:val="009334FC"/>
    <w:rsid w:val="009341F5"/>
    <w:rsid w:val="00934B4C"/>
    <w:rsid w:val="00934EEA"/>
    <w:rsid w:val="00935159"/>
    <w:rsid w:val="009361A2"/>
    <w:rsid w:val="009369F0"/>
    <w:rsid w:val="00936C74"/>
    <w:rsid w:val="00937669"/>
    <w:rsid w:val="00942537"/>
    <w:rsid w:val="00943215"/>
    <w:rsid w:val="0094342F"/>
    <w:rsid w:val="00943E54"/>
    <w:rsid w:val="00944A92"/>
    <w:rsid w:val="00945C62"/>
    <w:rsid w:val="00950683"/>
    <w:rsid w:val="0095176F"/>
    <w:rsid w:val="00952763"/>
    <w:rsid w:val="00952F9A"/>
    <w:rsid w:val="00953B5C"/>
    <w:rsid w:val="009555A6"/>
    <w:rsid w:val="00955C57"/>
    <w:rsid w:val="00961003"/>
    <w:rsid w:val="00961622"/>
    <w:rsid w:val="009618F0"/>
    <w:rsid w:val="00961CBF"/>
    <w:rsid w:val="00962272"/>
    <w:rsid w:val="00963696"/>
    <w:rsid w:val="00963964"/>
    <w:rsid w:val="0096495C"/>
    <w:rsid w:val="009667D9"/>
    <w:rsid w:val="0096680B"/>
    <w:rsid w:val="00967880"/>
    <w:rsid w:val="009703A7"/>
    <w:rsid w:val="00970A98"/>
    <w:rsid w:val="009717BF"/>
    <w:rsid w:val="00976A5A"/>
    <w:rsid w:val="00980C9F"/>
    <w:rsid w:val="0098267E"/>
    <w:rsid w:val="00982B7C"/>
    <w:rsid w:val="00982FE7"/>
    <w:rsid w:val="00983084"/>
    <w:rsid w:val="0098378C"/>
    <w:rsid w:val="00984903"/>
    <w:rsid w:val="00984D42"/>
    <w:rsid w:val="00985132"/>
    <w:rsid w:val="00985659"/>
    <w:rsid w:val="00985A77"/>
    <w:rsid w:val="00985B82"/>
    <w:rsid w:val="00990799"/>
    <w:rsid w:val="00990A61"/>
    <w:rsid w:val="00991259"/>
    <w:rsid w:val="009915C6"/>
    <w:rsid w:val="009932FE"/>
    <w:rsid w:val="0099365E"/>
    <w:rsid w:val="00994515"/>
    <w:rsid w:val="009956B8"/>
    <w:rsid w:val="009960DF"/>
    <w:rsid w:val="009965A9"/>
    <w:rsid w:val="00997145"/>
    <w:rsid w:val="00997190"/>
    <w:rsid w:val="0099727B"/>
    <w:rsid w:val="00997C0E"/>
    <w:rsid w:val="009A01F3"/>
    <w:rsid w:val="009A1547"/>
    <w:rsid w:val="009A21E3"/>
    <w:rsid w:val="009A53B3"/>
    <w:rsid w:val="009A79F7"/>
    <w:rsid w:val="009A7EA7"/>
    <w:rsid w:val="009B0312"/>
    <w:rsid w:val="009B06DD"/>
    <w:rsid w:val="009B1D91"/>
    <w:rsid w:val="009B32B8"/>
    <w:rsid w:val="009B3AEF"/>
    <w:rsid w:val="009B4D8C"/>
    <w:rsid w:val="009B537B"/>
    <w:rsid w:val="009B5486"/>
    <w:rsid w:val="009B6016"/>
    <w:rsid w:val="009B688D"/>
    <w:rsid w:val="009B6939"/>
    <w:rsid w:val="009B6BD6"/>
    <w:rsid w:val="009B7DD9"/>
    <w:rsid w:val="009C01C3"/>
    <w:rsid w:val="009C0241"/>
    <w:rsid w:val="009C156C"/>
    <w:rsid w:val="009C1E38"/>
    <w:rsid w:val="009C26B6"/>
    <w:rsid w:val="009C2792"/>
    <w:rsid w:val="009C3AA5"/>
    <w:rsid w:val="009C40EB"/>
    <w:rsid w:val="009C4524"/>
    <w:rsid w:val="009C4A6D"/>
    <w:rsid w:val="009C4AAA"/>
    <w:rsid w:val="009C5DC2"/>
    <w:rsid w:val="009C6B50"/>
    <w:rsid w:val="009C7043"/>
    <w:rsid w:val="009D03F5"/>
    <w:rsid w:val="009D13B1"/>
    <w:rsid w:val="009D4160"/>
    <w:rsid w:val="009D47D4"/>
    <w:rsid w:val="009D55A0"/>
    <w:rsid w:val="009D7384"/>
    <w:rsid w:val="009E0E6F"/>
    <w:rsid w:val="009E2DA1"/>
    <w:rsid w:val="009E337D"/>
    <w:rsid w:val="009E43C9"/>
    <w:rsid w:val="009E4E36"/>
    <w:rsid w:val="009E58F1"/>
    <w:rsid w:val="009E7A62"/>
    <w:rsid w:val="009E7BB1"/>
    <w:rsid w:val="009F269F"/>
    <w:rsid w:val="009F2766"/>
    <w:rsid w:val="009F28E5"/>
    <w:rsid w:val="009F300B"/>
    <w:rsid w:val="009F3080"/>
    <w:rsid w:val="009F3AA5"/>
    <w:rsid w:val="009F4328"/>
    <w:rsid w:val="009F4A04"/>
    <w:rsid w:val="009F6552"/>
    <w:rsid w:val="009F6AA2"/>
    <w:rsid w:val="009F6B84"/>
    <w:rsid w:val="009F7195"/>
    <w:rsid w:val="00A0028C"/>
    <w:rsid w:val="00A01E4E"/>
    <w:rsid w:val="00A02523"/>
    <w:rsid w:val="00A02A55"/>
    <w:rsid w:val="00A03298"/>
    <w:rsid w:val="00A034A0"/>
    <w:rsid w:val="00A042C9"/>
    <w:rsid w:val="00A04438"/>
    <w:rsid w:val="00A04E3D"/>
    <w:rsid w:val="00A05C70"/>
    <w:rsid w:val="00A05EC1"/>
    <w:rsid w:val="00A063C5"/>
    <w:rsid w:val="00A06D8F"/>
    <w:rsid w:val="00A07831"/>
    <w:rsid w:val="00A1004D"/>
    <w:rsid w:val="00A1086D"/>
    <w:rsid w:val="00A10C42"/>
    <w:rsid w:val="00A116BA"/>
    <w:rsid w:val="00A12716"/>
    <w:rsid w:val="00A1371B"/>
    <w:rsid w:val="00A13AFF"/>
    <w:rsid w:val="00A1548C"/>
    <w:rsid w:val="00A156B8"/>
    <w:rsid w:val="00A15A45"/>
    <w:rsid w:val="00A167AC"/>
    <w:rsid w:val="00A1787D"/>
    <w:rsid w:val="00A2029F"/>
    <w:rsid w:val="00A24D6C"/>
    <w:rsid w:val="00A26B7A"/>
    <w:rsid w:val="00A274F6"/>
    <w:rsid w:val="00A276D8"/>
    <w:rsid w:val="00A30183"/>
    <w:rsid w:val="00A30797"/>
    <w:rsid w:val="00A3097D"/>
    <w:rsid w:val="00A31D8E"/>
    <w:rsid w:val="00A335E4"/>
    <w:rsid w:val="00A33735"/>
    <w:rsid w:val="00A3492D"/>
    <w:rsid w:val="00A35C80"/>
    <w:rsid w:val="00A3784A"/>
    <w:rsid w:val="00A37E73"/>
    <w:rsid w:val="00A4065C"/>
    <w:rsid w:val="00A40F25"/>
    <w:rsid w:val="00A40F4F"/>
    <w:rsid w:val="00A40FFA"/>
    <w:rsid w:val="00A42892"/>
    <w:rsid w:val="00A42E87"/>
    <w:rsid w:val="00A43292"/>
    <w:rsid w:val="00A44763"/>
    <w:rsid w:val="00A459C9"/>
    <w:rsid w:val="00A476AA"/>
    <w:rsid w:val="00A477B9"/>
    <w:rsid w:val="00A47F4D"/>
    <w:rsid w:val="00A506BD"/>
    <w:rsid w:val="00A50763"/>
    <w:rsid w:val="00A51314"/>
    <w:rsid w:val="00A5399E"/>
    <w:rsid w:val="00A542B1"/>
    <w:rsid w:val="00A551B2"/>
    <w:rsid w:val="00A562F2"/>
    <w:rsid w:val="00A56380"/>
    <w:rsid w:val="00A5688B"/>
    <w:rsid w:val="00A57B0B"/>
    <w:rsid w:val="00A603E7"/>
    <w:rsid w:val="00A604A5"/>
    <w:rsid w:val="00A61300"/>
    <w:rsid w:val="00A6202B"/>
    <w:rsid w:val="00A64194"/>
    <w:rsid w:val="00A64461"/>
    <w:rsid w:val="00A65BE5"/>
    <w:rsid w:val="00A665C3"/>
    <w:rsid w:val="00A70150"/>
    <w:rsid w:val="00A705E4"/>
    <w:rsid w:val="00A70860"/>
    <w:rsid w:val="00A7376C"/>
    <w:rsid w:val="00A7400A"/>
    <w:rsid w:val="00A74642"/>
    <w:rsid w:val="00A749FA"/>
    <w:rsid w:val="00A74B05"/>
    <w:rsid w:val="00A753D2"/>
    <w:rsid w:val="00A75F7B"/>
    <w:rsid w:val="00A76241"/>
    <w:rsid w:val="00A76995"/>
    <w:rsid w:val="00A76AC7"/>
    <w:rsid w:val="00A77A09"/>
    <w:rsid w:val="00A813A2"/>
    <w:rsid w:val="00A81D55"/>
    <w:rsid w:val="00A8413A"/>
    <w:rsid w:val="00A84969"/>
    <w:rsid w:val="00A86D7B"/>
    <w:rsid w:val="00A87BEF"/>
    <w:rsid w:val="00A87DC3"/>
    <w:rsid w:val="00A90636"/>
    <w:rsid w:val="00A90CFB"/>
    <w:rsid w:val="00A91636"/>
    <w:rsid w:val="00A9333D"/>
    <w:rsid w:val="00A93A89"/>
    <w:rsid w:val="00A93D92"/>
    <w:rsid w:val="00A9434B"/>
    <w:rsid w:val="00A9488E"/>
    <w:rsid w:val="00A949C7"/>
    <w:rsid w:val="00A94D3C"/>
    <w:rsid w:val="00A950A9"/>
    <w:rsid w:val="00A96661"/>
    <w:rsid w:val="00A968B2"/>
    <w:rsid w:val="00A971A6"/>
    <w:rsid w:val="00A97931"/>
    <w:rsid w:val="00AA0655"/>
    <w:rsid w:val="00AA1325"/>
    <w:rsid w:val="00AA297F"/>
    <w:rsid w:val="00AA3A3D"/>
    <w:rsid w:val="00AA52BA"/>
    <w:rsid w:val="00AA5CD4"/>
    <w:rsid w:val="00AA618F"/>
    <w:rsid w:val="00AA6376"/>
    <w:rsid w:val="00AA7BEB"/>
    <w:rsid w:val="00AB0582"/>
    <w:rsid w:val="00AB079F"/>
    <w:rsid w:val="00AB11C3"/>
    <w:rsid w:val="00AB138B"/>
    <w:rsid w:val="00AB13EE"/>
    <w:rsid w:val="00AB1619"/>
    <w:rsid w:val="00AB17F1"/>
    <w:rsid w:val="00AB2444"/>
    <w:rsid w:val="00AB24FE"/>
    <w:rsid w:val="00AB3A2A"/>
    <w:rsid w:val="00AB46C2"/>
    <w:rsid w:val="00AB79CE"/>
    <w:rsid w:val="00AB7F91"/>
    <w:rsid w:val="00AC0BDD"/>
    <w:rsid w:val="00AC1605"/>
    <w:rsid w:val="00AC1701"/>
    <w:rsid w:val="00AC251B"/>
    <w:rsid w:val="00AC2D90"/>
    <w:rsid w:val="00AC38F4"/>
    <w:rsid w:val="00AC3CD9"/>
    <w:rsid w:val="00AC443A"/>
    <w:rsid w:val="00AC47FE"/>
    <w:rsid w:val="00AC4F85"/>
    <w:rsid w:val="00AC5162"/>
    <w:rsid w:val="00AC57CD"/>
    <w:rsid w:val="00AC58FF"/>
    <w:rsid w:val="00AC5F0A"/>
    <w:rsid w:val="00AC63AE"/>
    <w:rsid w:val="00AC71BA"/>
    <w:rsid w:val="00AD0060"/>
    <w:rsid w:val="00AD0F53"/>
    <w:rsid w:val="00AD1E1D"/>
    <w:rsid w:val="00AD1EC0"/>
    <w:rsid w:val="00AD316F"/>
    <w:rsid w:val="00AD3B05"/>
    <w:rsid w:val="00AD4C6F"/>
    <w:rsid w:val="00AD5BD3"/>
    <w:rsid w:val="00AD7976"/>
    <w:rsid w:val="00AD7BB2"/>
    <w:rsid w:val="00AD7D31"/>
    <w:rsid w:val="00AE001A"/>
    <w:rsid w:val="00AE06BD"/>
    <w:rsid w:val="00AE0B6D"/>
    <w:rsid w:val="00AE0B77"/>
    <w:rsid w:val="00AE1BF8"/>
    <w:rsid w:val="00AE2750"/>
    <w:rsid w:val="00AE27E7"/>
    <w:rsid w:val="00AE31BA"/>
    <w:rsid w:val="00AE3B34"/>
    <w:rsid w:val="00AE3C60"/>
    <w:rsid w:val="00AE3CE0"/>
    <w:rsid w:val="00AE3F97"/>
    <w:rsid w:val="00AE5992"/>
    <w:rsid w:val="00AE5FA1"/>
    <w:rsid w:val="00AE62DD"/>
    <w:rsid w:val="00AE7680"/>
    <w:rsid w:val="00AF0282"/>
    <w:rsid w:val="00AF3359"/>
    <w:rsid w:val="00AF4958"/>
    <w:rsid w:val="00AF56ED"/>
    <w:rsid w:val="00AF5918"/>
    <w:rsid w:val="00AF6622"/>
    <w:rsid w:val="00AF6A5E"/>
    <w:rsid w:val="00AF6A63"/>
    <w:rsid w:val="00AF6F58"/>
    <w:rsid w:val="00AF7A8E"/>
    <w:rsid w:val="00B0025C"/>
    <w:rsid w:val="00B01D9D"/>
    <w:rsid w:val="00B0326A"/>
    <w:rsid w:val="00B04560"/>
    <w:rsid w:val="00B046B4"/>
    <w:rsid w:val="00B04965"/>
    <w:rsid w:val="00B04EEA"/>
    <w:rsid w:val="00B05142"/>
    <w:rsid w:val="00B0515F"/>
    <w:rsid w:val="00B055D2"/>
    <w:rsid w:val="00B06776"/>
    <w:rsid w:val="00B06D15"/>
    <w:rsid w:val="00B0731B"/>
    <w:rsid w:val="00B07D58"/>
    <w:rsid w:val="00B1024D"/>
    <w:rsid w:val="00B10F6A"/>
    <w:rsid w:val="00B10F7E"/>
    <w:rsid w:val="00B110FB"/>
    <w:rsid w:val="00B11BEC"/>
    <w:rsid w:val="00B13676"/>
    <w:rsid w:val="00B13FFB"/>
    <w:rsid w:val="00B145E5"/>
    <w:rsid w:val="00B14AF7"/>
    <w:rsid w:val="00B15492"/>
    <w:rsid w:val="00B171CE"/>
    <w:rsid w:val="00B22A50"/>
    <w:rsid w:val="00B22E38"/>
    <w:rsid w:val="00B234E3"/>
    <w:rsid w:val="00B23F91"/>
    <w:rsid w:val="00B24613"/>
    <w:rsid w:val="00B248E5"/>
    <w:rsid w:val="00B25CC0"/>
    <w:rsid w:val="00B2650F"/>
    <w:rsid w:val="00B2654E"/>
    <w:rsid w:val="00B267DC"/>
    <w:rsid w:val="00B26860"/>
    <w:rsid w:val="00B26C81"/>
    <w:rsid w:val="00B272AE"/>
    <w:rsid w:val="00B27F9C"/>
    <w:rsid w:val="00B3027C"/>
    <w:rsid w:val="00B30AEA"/>
    <w:rsid w:val="00B30E23"/>
    <w:rsid w:val="00B3164C"/>
    <w:rsid w:val="00B3213D"/>
    <w:rsid w:val="00B3255F"/>
    <w:rsid w:val="00B34BBF"/>
    <w:rsid w:val="00B34EA6"/>
    <w:rsid w:val="00B35CE2"/>
    <w:rsid w:val="00B36A7D"/>
    <w:rsid w:val="00B37EAF"/>
    <w:rsid w:val="00B4047B"/>
    <w:rsid w:val="00B4079D"/>
    <w:rsid w:val="00B40994"/>
    <w:rsid w:val="00B40DA8"/>
    <w:rsid w:val="00B41EB4"/>
    <w:rsid w:val="00B43093"/>
    <w:rsid w:val="00B43417"/>
    <w:rsid w:val="00B43FBB"/>
    <w:rsid w:val="00B441BD"/>
    <w:rsid w:val="00B449E9"/>
    <w:rsid w:val="00B4532B"/>
    <w:rsid w:val="00B45CF9"/>
    <w:rsid w:val="00B472B5"/>
    <w:rsid w:val="00B47E78"/>
    <w:rsid w:val="00B50CBD"/>
    <w:rsid w:val="00B50E84"/>
    <w:rsid w:val="00B51604"/>
    <w:rsid w:val="00B525C1"/>
    <w:rsid w:val="00B52C82"/>
    <w:rsid w:val="00B5353E"/>
    <w:rsid w:val="00B54083"/>
    <w:rsid w:val="00B541CB"/>
    <w:rsid w:val="00B553A7"/>
    <w:rsid w:val="00B559E9"/>
    <w:rsid w:val="00B56731"/>
    <w:rsid w:val="00B6050F"/>
    <w:rsid w:val="00B60E2C"/>
    <w:rsid w:val="00B60E37"/>
    <w:rsid w:val="00B618F9"/>
    <w:rsid w:val="00B61984"/>
    <w:rsid w:val="00B62066"/>
    <w:rsid w:val="00B62D15"/>
    <w:rsid w:val="00B63D82"/>
    <w:rsid w:val="00B64505"/>
    <w:rsid w:val="00B6583D"/>
    <w:rsid w:val="00B665B2"/>
    <w:rsid w:val="00B6663B"/>
    <w:rsid w:val="00B669F1"/>
    <w:rsid w:val="00B70460"/>
    <w:rsid w:val="00B70A21"/>
    <w:rsid w:val="00B732BD"/>
    <w:rsid w:val="00B7441D"/>
    <w:rsid w:val="00B75618"/>
    <w:rsid w:val="00B7678F"/>
    <w:rsid w:val="00B77C61"/>
    <w:rsid w:val="00B811BB"/>
    <w:rsid w:val="00B813DE"/>
    <w:rsid w:val="00B815C2"/>
    <w:rsid w:val="00B8310C"/>
    <w:rsid w:val="00B8515B"/>
    <w:rsid w:val="00B8568E"/>
    <w:rsid w:val="00B86146"/>
    <w:rsid w:val="00B90117"/>
    <w:rsid w:val="00B92373"/>
    <w:rsid w:val="00B92B61"/>
    <w:rsid w:val="00B92F15"/>
    <w:rsid w:val="00B9318B"/>
    <w:rsid w:val="00B93DF4"/>
    <w:rsid w:val="00B93E1E"/>
    <w:rsid w:val="00B9410A"/>
    <w:rsid w:val="00B94CE1"/>
    <w:rsid w:val="00B94F7B"/>
    <w:rsid w:val="00B953FA"/>
    <w:rsid w:val="00B956EE"/>
    <w:rsid w:val="00B95D32"/>
    <w:rsid w:val="00B967A1"/>
    <w:rsid w:val="00B96F1F"/>
    <w:rsid w:val="00BA00FF"/>
    <w:rsid w:val="00BA07AA"/>
    <w:rsid w:val="00BA087F"/>
    <w:rsid w:val="00BA08E7"/>
    <w:rsid w:val="00BA098A"/>
    <w:rsid w:val="00BA11DE"/>
    <w:rsid w:val="00BA1366"/>
    <w:rsid w:val="00BA1E74"/>
    <w:rsid w:val="00BA232A"/>
    <w:rsid w:val="00BA4562"/>
    <w:rsid w:val="00BA4779"/>
    <w:rsid w:val="00BA4B8A"/>
    <w:rsid w:val="00BA5B0E"/>
    <w:rsid w:val="00BA61B7"/>
    <w:rsid w:val="00BA63F2"/>
    <w:rsid w:val="00BB0496"/>
    <w:rsid w:val="00BB0B31"/>
    <w:rsid w:val="00BB2312"/>
    <w:rsid w:val="00BB272F"/>
    <w:rsid w:val="00BB3BE4"/>
    <w:rsid w:val="00BB47F1"/>
    <w:rsid w:val="00BB49A2"/>
    <w:rsid w:val="00BB4DFD"/>
    <w:rsid w:val="00BB5ED5"/>
    <w:rsid w:val="00BB6A01"/>
    <w:rsid w:val="00BB71D7"/>
    <w:rsid w:val="00BC0E4E"/>
    <w:rsid w:val="00BC1658"/>
    <w:rsid w:val="00BC21B4"/>
    <w:rsid w:val="00BC2859"/>
    <w:rsid w:val="00BC3FBD"/>
    <w:rsid w:val="00BC5C48"/>
    <w:rsid w:val="00BC7A48"/>
    <w:rsid w:val="00BD2585"/>
    <w:rsid w:val="00BD38ED"/>
    <w:rsid w:val="00BD42C3"/>
    <w:rsid w:val="00BD56DA"/>
    <w:rsid w:val="00BD7004"/>
    <w:rsid w:val="00BD70AC"/>
    <w:rsid w:val="00BE2226"/>
    <w:rsid w:val="00BE2F2C"/>
    <w:rsid w:val="00BE38EC"/>
    <w:rsid w:val="00BE4298"/>
    <w:rsid w:val="00BE503B"/>
    <w:rsid w:val="00BE5A6A"/>
    <w:rsid w:val="00BE6361"/>
    <w:rsid w:val="00BE6EF5"/>
    <w:rsid w:val="00BE7721"/>
    <w:rsid w:val="00BF08BA"/>
    <w:rsid w:val="00BF0AC4"/>
    <w:rsid w:val="00BF0C3B"/>
    <w:rsid w:val="00BF2478"/>
    <w:rsid w:val="00BF468A"/>
    <w:rsid w:val="00BF47FD"/>
    <w:rsid w:val="00BF4993"/>
    <w:rsid w:val="00BF543C"/>
    <w:rsid w:val="00BF5538"/>
    <w:rsid w:val="00BF560C"/>
    <w:rsid w:val="00BF5A31"/>
    <w:rsid w:val="00BF5EA8"/>
    <w:rsid w:val="00BF682C"/>
    <w:rsid w:val="00BF6B52"/>
    <w:rsid w:val="00BF7A2D"/>
    <w:rsid w:val="00C00617"/>
    <w:rsid w:val="00C01C64"/>
    <w:rsid w:val="00C04214"/>
    <w:rsid w:val="00C04FBF"/>
    <w:rsid w:val="00C060B5"/>
    <w:rsid w:val="00C06157"/>
    <w:rsid w:val="00C06F90"/>
    <w:rsid w:val="00C11CB0"/>
    <w:rsid w:val="00C11CD6"/>
    <w:rsid w:val="00C12932"/>
    <w:rsid w:val="00C1552A"/>
    <w:rsid w:val="00C15FBC"/>
    <w:rsid w:val="00C168FB"/>
    <w:rsid w:val="00C175F6"/>
    <w:rsid w:val="00C20562"/>
    <w:rsid w:val="00C2060B"/>
    <w:rsid w:val="00C210B6"/>
    <w:rsid w:val="00C21B32"/>
    <w:rsid w:val="00C21F33"/>
    <w:rsid w:val="00C2319E"/>
    <w:rsid w:val="00C24CEF"/>
    <w:rsid w:val="00C26415"/>
    <w:rsid w:val="00C26D16"/>
    <w:rsid w:val="00C274DA"/>
    <w:rsid w:val="00C31459"/>
    <w:rsid w:val="00C32DA7"/>
    <w:rsid w:val="00C33AAC"/>
    <w:rsid w:val="00C33D2F"/>
    <w:rsid w:val="00C34F16"/>
    <w:rsid w:val="00C37A39"/>
    <w:rsid w:val="00C37E42"/>
    <w:rsid w:val="00C4026D"/>
    <w:rsid w:val="00C4048C"/>
    <w:rsid w:val="00C407CE"/>
    <w:rsid w:val="00C41097"/>
    <w:rsid w:val="00C4255F"/>
    <w:rsid w:val="00C43583"/>
    <w:rsid w:val="00C44007"/>
    <w:rsid w:val="00C45467"/>
    <w:rsid w:val="00C4754C"/>
    <w:rsid w:val="00C4763C"/>
    <w:rsid w:val="00C4778B"/>
    <w:rsid w:val="00C477BB"/>
    <w:rsid w:val="00C51DA1"/>
    <w:rsid w:val="00C51F20"/>
    <w:rsid w:val="00C53B98"/>
    <w:rsid w:val="00C54284"/>
    <w:rsid w:val="00C55C3B"/>
    <w:rsid w:val="00C56083"/>
    <w:rsid w:val="00C5717F"/>
    <w:rsid w:val="00C573AA"/>
    <w:rsid w:val="00C573CC"/>
    <w:rsid w:val="00C60312"/>
    <w:rsid w:val="00C60730"/>
    <w:rsid w:val="00C60D9C"/>
    <w:rsid w:val="00C60ECA"/>
    <w:rsid w:val="00C61054"/>
    <w:rsid w:val="00C62587"/>
    <w:rsid w:val="00C62668"/>
    <w:rsid w:val="00C62DC2"/>
    <w:rsid w:val="00C6701B"/>
    <w:rsid w:val="00C67ECB"/>
    <w:rsid w:val="00C7010C"/>
    <w:rsid w:val="00C701FD"/>
    <w:rsid w:val="00C70F41"/>
    <w:rsid w:val="00C71616"/>
    <w:rsid w:val="00C72EBC"/>
    <w:rsid w:val="00C73003"/>
    <w:rsid w:val="00C7338A"/>
    <w:rsid w:val="00C735EE"/>
    <w:rsid w:val="00C73FF9"/>
    <w:rsid w:val="00C74EA6"/>
    <w:rsid w:val="00C77878"/>
    <w:rsid w:val="00C77C2D"/>
    <w:rsid w:val="00C77ECD"/>
    <w:rsid w:val="00C81A91"/>
    <w:rsid w:val="00C8354C"/>
    <w:rsid w:val="00C84A6D"/>
    <w:rsid w:val="00C84E17"/>
    <w:rsid w:val="00C85079"/>
    <w:rsid w:val="00C87ECE"/>
    <w:rsid w:val="00C90834"/>
    <w:rsid w:val="00C9217C"/>
    <w:rsid w:val="00C941AC"/>
    <w:rsid w:val="00C94596"/>
    <w:rsid w:val="00C94860"/>
    <w:rsid w:val="00C9615E"/>
    <w:rsid w:val="00C96638"/>
    <w:rsid w:val="00C96FE3"/>
    <w:rsid w:val="00C9795C"/>
    <w:rsid w:val="00CA06E3"/>
    <w:rsid w:val="00CA220C"/>
    <w:rsid w:val="00CA3019"/>
    <w:rsid w:val="00CA30A2"/>
    <w:rsid w:val="00CA3BBD"/>
    <w:rsid w:val="00CA4E5A"/>
    <w:rsid w:val="00CA6334"/>
    <w:rsid w:val="00CA73FC"/>
    <w:rsid w:val="00CB0CBB"/>
    <w:rsid w:val="00CB0EBA"/>
    <w:rsid w:val="00CB0F0C"/>
    <w:rsid w:val="00CB11DE"/>
    <w:rsid w:val="00CB1353"/>
    <w:rsid w:val="00CB271F"/>
    <w:rsid w:val="00CB3DE6"/>
    <w:rsid w:val="00CB4AB1"/>
    <w:rsid w:val="00CB56A3"/>
    <w:rsid w:val="00CB6667"/>
    <w:rsid w:val="00CB6EF2"/>
    <w:rsid w:val="00CB796B"/>
    <w:rsid w:val="00CB7CB0"/>
    <w:rsid w:val="00CB7F67"/>
    <w:rsid w:val="00CC20B1"/>
    <w:rsid w:val="00CC3638"/>
    <w:rsid w:val="00CC5415"/>
    <w:rsid w:val="00CC64E8"/>
    <w:rsid w:val="00CD0023"/>
    <w:rsid w:val="00CD0972"/>
    <w:rsid w:val="00CD163C"/>
    <w:rsid w:val="00CD1AF8"/>
    <w:rsid w:val="00CD1D57"/>
    <w:rsid w:val="00CD3402"/>
    <w:rsid w:val="00CD3554"/>
    <w:rsid w:val="00CD3867"/>
    <w:rsid w:val="00CD3FB9"/>
    <w:rsid w:val="00CD4C4B"/>
    <w:rsid w:val="00CD4DF8"/>
    <w:rsid w:val="00CD5AC1"/>
    <w:rsid w:val="00CD6FD9"/>
    <w:rsid w:val="00CD7453"/>
    <w:rsid w:val="00CD76F0"/>
    <w:rsid w:val="00CD7C89"/>
    <w:rsid w:val="00CD7DE9"/>
    <w:rsid w:val="00CE04D6"/>
    <w:rsid w:val="00CE0ED3"/>
    <w:rsid w:val="00CE25CE"/>
    <w:rsid w:val="00CE32CE"/>
    <w:rsid w:val="00CE3A59"/>
    <w:rsid w:val="00CE5BE4"/>
    <w:rsid w:val="00CE7BEE"/>
    <w:rsid w:val="00CF0715"/>
    <w:rsid w:val="00CF1799"/>
    <w:rsid w:val="00CF2668"/>
    <w:rsid w:val="00CF2771"/>
    <w:rsid w:val="00CF2899"/>
    <w:rsid w:val="00CF4B36"/>
    <w:rsid w:val="00CF4BBF"/>
    <w:rsid w:val="00CF4C92"/>
    <w:rsid w:val="00CF4FF3"/>
    <w:rsid w:val="00CF57D1"/>
    <w:rsid w:val="00CF5AC8"/>
    <w:rsid w:val="00CF7AF5"/>
    <w:rsid w:val="00CF7C63"/>
    <w:rsid w:val="00D0548F"/>
    <w:rsid w:val="00D067C6"/>
    <w:rsid w:val="00D06D1F"/>
    <w:rsid w:val="00D07E00"/>
    <w:rsid w:val="00D11802"/>
    <w:rsid w:val="00D12051"/>
    <w:rsid w:val="00D1331D"/>
    <w:rsid w:val="00D13347"/>
    <w:rsid w:val="00D13999"/>
    <w:rsid w:val="00D1455E"/>
    <w:rsid w:val="00D1682C"/>
    <w:rsid w:val="00D17940"/>
    <w:rsid w:val="00D17AD4"/>
    <w:rsid w:val="00D22567"/>
    <w:rsid w:val="00D2262C"/>
    <w:rsid w:val="00D22A85"/>
    <w:rsid w:val="00D23426"/>
    <w:rsid w:val="00D24784"/>
    <w:rsid w:val="00D25A67"/>
    <w:rsid w:val="00D267C3"/>
    <w:rsid w:val="00D26D0E"/>
    <w:rsid w:val="00D27081"/>
    <w:rsid w:val="00D27210"/>
    <w:rsid w:val="00D325D9"/>
    <w:rsid w:val="00D33ABF"/>
    <w:rsid w:val="00D34E0B"/>
    <w:rsid w:val="00D35528"/>
    <w:rsid w:val="00D35575"/>
    <w:rsid w:val="00D364CD"/>
    <w:rsid w:val="00D36CC8"/>
    <w:rsid w:val="00D405E7"/>
    <w:rsid w:val="00D40690"/>
    <w:rsid w:val="00D42F42"/>
    <w:rsid w:val="00D43529"/>
    <w:rsid w:val="00D4590C"/>
    <w:rsid w:val="00D45A48"/>
    <w:rsid w:val="00D476AB"/>
    <w:rsid w:val="00D51E68"/>
    <w:rsid w:val="00D54426"/>
    <w:rsid w:val="00D54F4E"/>
    <w:rsid w:val="00D55ACE"/>
    <w:rsid w:val="00D56002"/>
    <w:rsid w:val="00D5689B"/>
    <w:rsid w:val="00D57516"/>
    <w:rsid w:val="00D57C12"/>
    <w:rsid w:val="00D57FBB"/>
    <w:rsid w:val="00D61AC3"/>
    <w:rsid w:val="00D626F3"/>
    <w:rsid w:val="00D62A52"/>
    <w:rsid w:val="00D63FD3"/>
    <w:rsid w:val="00D64FEC"/>
    <w:rsid w:val="00D653B6"/>
    <w:rsid w:val="00D65583"/>
    <w:rsid w:val="00D65591"/>
    <w:rsid w:val="00D656DD"/>
    <w:rsid w:val="00D658FF"/>
    <w:rsid w:val="00D65A70"/>
    <w:rsid w:val="00D65DDE"/>
    <w:rsid w:val="00D65EB4"/>
    <w:rsid w:val="00D6641C"/>
    <w:rsid w:val="00D669CE"/>
    <w:rsid w:val="00D66BA4"/>
    <w:rsid w:val="00D718EA"/>
    <w:rsid w:val="00D7193F"/>
    <w:rsid w:val="00D71FF9"/>
    <w:rsid w:val="00D72EA0"/>
    <w:rsid w:val="00D747A5"/>
    <w:rsid w:val="00D761E3"/>
    <w:rsid w:val="00D76D15"/>
    <w:rsid w:val="00D8010E"/>
    <w:rsid w:val="00D81982"/>
    <w:rsid w:val="00D81F50"/>
    <w:rsid w:val="00D82045"/>
    <w:rsid w:val="00D8232F"/>
    <w:rsid w:val="00D84387"/>
    <w:rsid w:val="00D85E09"/>
    <w:rsid w:val="00D86094"/>
    <w:rsid w:val="00D86445"/>
    <w:rsid w:val="00D86D9A"/>
    <w:rsid w:val="00D86E0B"/>
    <w:rsid w:val="00D8710F"/>
    <w:rsid w:val="00D877DF"/>
    <w:rsid w:val="00D90C54"/>
    <w:rsid w:val="00D91747"/>
    <w:rsid w:val="00D917FE"/>
    <w:rsid w:val="00D919AB"/>
    <w:rsid w:val="00D91C9A"/>
    <w:rsid w:val="00D92F0F"/>
    <w:rsid w:val="00D93014"/>
    <w:rsid w:val="00D9316D"/>
    <w:rsid w:val="00D946C7"/>
    <w:rsid w:val="00D94A35"/>
    <w:rsid w:val="00D955EC"/>
    <w:rsid w:val="00D95EEA"/>
    <w:rsid w:val="00DA06E5"/>
    <w:rsid w:val="00DA0E70"/>
    <w:rsid w:val="00DA189E"/>
    <w:rsid w:val="00DA2023"/>
    <w:rsid w:val="00DA513D"/>
    <w:rsid w:val="00DA613C"/>
    <w:rsid w:val="00DA7824"/>
    <w:rsid w:val="00DB0694"/>
    <w:rsid w:val="00DB395D"/>
    <w:rsid w:val="00DB396B"/>
    <w:rsid w:val="00DB4BAB"/>
    <w:rsid w:val="00DB4D3E"/>
    <w:rsid w:val="00DB640D"/>
    <w:rsid w:val="00DB67E3"/>
    <w:rsid w:val="00DB7957"/>
    <w:rsid w:val="00DC080D"/>
    <w:rsid w:val="00DC15DE"/>
    <w:rsid w:val="00DC20EA"/>
    <w:rsid w:val="00DC2194"/>
    <w:rsid w:val="00DC3AC8"/>
    <w:rsid w:val="00DC61B3"/>
    <w:rsid w:val="00DC6F10"/>
    <w:rsid w:val="00DC73CD"/>
    <w:rsid w:val="00DD1B6A"/>
    <w:rsid w:val="00DD22D3"/>
    <w:rsid w:val="00DD413F"/>
    <w:rsid w:val="00DD5A16"/>
    <w:rsid w:val="00DD5A26"/>
    <w:rsid w:val="00DD6563"/>
    <w:rsid w:val="00DD6F55"/>
    <w:rsid w:val="00DD752A"/>
    <w:rsid w:val="00DD766A"/>
    <w:rsid w:val="00DD77FF"/>
    <w:rsid w:val="00DD784A"/>
    <w:rsid w:val="00DE0B07"/>
    <w:rsid w:val="00DE171F"/>
    <w:rsid w:val="00DE2344"/>
    <w:rsid w:val="00DE25F3"/>
    <w:rsid w:val="00DE2D94"/>
    <w:rsid w:val="00DE30F6"/>
    <w:rsid w:val="00DE3E17"/>
    <w:rsid w:val="00DE42A1"/>
    <w:rsid w:val="00DE51D5"/>
    <w:rsid w:val="00DE686E"/>
    <w:rsid w:val="00DE6C0D"/>
    <w:rsid w:val="00DE6C14"/>
    <w:rsid w:val="00DE795D"/>
    <w:rsid w:val="00DF2532"/>
    <w:rsid w:val="00DF2BF4"/>
    <w:rsid w:val="00DF3332"/>
    <w:rsid w:val="00DF3B9F"/>
    <w:rsid w:val="00DF5AE1"/>
    <w:rsid w:val="00DF5D83"/>
    <w:rsid w:val="00DF6374"/>
    <w:rsid w:val="00DF7632"/>
    <w:rsid w:val="00E003BC"/>
    <w:rsid w:val="00E02037"/>
    <w:rsid w:val="00E034CE"/>
    <w:rsid w:val="00E03665"/>
    <w:rsid w:val="00E04563"/>
    <w:rsid w:val="00E0547C"/>
    <w:rsid w:val="00E0672B"/>
    <w:rsid w:val="00E10F57"/>
    <w:rsid w:val="00E11C8A"/>
    <w:rsid w:val="00E12861"/>
    <w:rsid w:val="00E12B6A"/>
    <w:rsid w:val="00E12DD5"/>
    <w:rsid w:val="00E12F27"/>
    <w:rsid w:val="00E151A8"/>
    <w:rsid w:val="00E1560C"/>
    <w:rsid w:val="00E15E8A"/>
    <w:rsid w:val="00E17939"/>
    <w:rsid w:val="00E20811"/>
    <w:rsid w:val="00E20DB0"/>
    <w:rsid w:val="00E21DB4"/>
    <w:rsid w:val="00E223F7"/>
    <w:rsid w:val="00E22725"/>
    <w:rsid w:val="00E2309B"/>
    <w:rsid w:val="00E23B7D"/>
    <w:rsid w:val="00E23EF8"/>
    <w:rsid w:val="00E25E1C"/>
    <w:rsid w:val="00E277E9"/>
    <w:rsid w:val="00E27E46"/>
    <w:rsid w:val="00E30183"/>
    <w:rsid w:val="00E32C5F"/>
    <w:rsid w:val="00E3485A"/>
    <w:rsid w:val="00E3501D"/>
    <w:rsid w:val="00E35C2B"/>
    <w:rsid w:val="00E35EF5"/>
    <w:rsid w:val="00E376F4"/>
    <w:rsid w:val="00E37BDE"/>
    <w:rsid w:val="00E37F87"/>
    <w:rsid w:val="00E43773"/>
    <w:rsid w:val="00E439C4"/>
    <w:rsid w:val="00E44118"/>
    <w:rsid w:val="00E44867"/>
    <w:rsid w:val="00E44C49"/>
    <w:rsid w:val="00E45407"/>
    <w:rsid w:val="00E46CCF"/>
    <w:rsid w:val="00E47A56"/>
    <w:rsid w:val="00E503F3"/>
    <w:rsid w:val="00E50602"/>
    <w:rsid w:val="00E519EA"/>
    <w:rsid w:val="00E52284"/>
    <w:rsid w:val="00E5256D"/>
    <w:rsid w:val="00E52CC7"/>
    <w:rsid w:val="00E60BFC"/>
    <w:rsid w:val="00E60F1D"/>
    <w:rsid w:val="00E61300"/>
    <w:rsid w:val="00E619A1"/>
    <w:rsid w:val="00E62B89"/>
    <w:rsid w:val="00E62DDB"/>
    <w:rsid w:val="00E62FF5"/>
    <w:rsid w:val="00E6384F"/>
    <w:rsid w:val="00E64692"/>
    <w:rsid w:val="00E66B8D"/>
    <w:rsid w:val="00E67862"/>
    <w:rsid w:val="00E67BB0"/>
    <w:rsid w:val="00E67BED"/>
    <w:rsid w:val="00E67DA4"/>
    <w:rsid w:val="00E700FE"/>
    <w:rsid w:val="00E70E0D"/>
    <w:rsid w:val="00E71C97"/>
    <w:rsid w:val="00E71CB9"/>
    <w:rsid w:val="00E71F86"/>
    <w:rsid w:val="00E72647"/>
    <w:rsid w:val="00E72E8E"/>
    <w:rsid w:val="00E73608"/>
    <w:rsid w:val="00E73FA3"/>
    <w:rsid w:val="00E7579E"/>
    <w:rsid w:val="00E75890"/>
    <w:rsid w:val="00E75CA4"/>
    <w:rsid w:val="00E75DB7"/>
    <w:rsid w:val="00E76D28"/>
    <w:rsid w:val="00E77C7A"/>
    <w:rsid w:val="00E77E94"/>
    <w:rsid w:val="00E800ED"/>
    <w:rsid w:val="00E80175"/>
    <w:rsid w:val="00E80595"/>
    <w:rsid w:val="00E82566"/>
    <w:rsid w:val="00E82880"/>
    <w:rsid w:val="00E82E56"/>
    <w:rsid w:val="00E8413F"/>
    <w:rsid w:val="00E84A91"/>
    <w:rsid w:val="00E84D91"/>
    <w:rsid w:val="00E85B09"/>
    <w:rsid w:val="00E86BE2"/>
    <w:rsid w:val="00E86E5E"/>
    <w:rsid w:val="00E90797"/>
    <w:rsid w:val="00E918B2"/>
    <w:rsid w:val="00E91B4E"/>
    <w:rsid w:val="00E9284D"/>
    <w:rsid w:val="00E97521"/>
    <w:rsid w:val="00E979EC"/>
    <w:rsid w:val="00E97D3D"/>
    <w:rsid w:val="00E97EDE"/>
    <w:rsid w:val="00EA0819"/>
    <w:rsid w:val="00EA0DF9"/>
    <w:rsid w:val="00EA3B09"/>
    <w:rsid w:val="00EA3C6A"/>
    <w:rsid w:val="00EA4097"/>
    <w:rsid w:val="00EA4620"/>
    <w:rsid w:val="00EA4B55"/>
    <w:rsid w:val="00EA5725"/>
    <w:rsid w:val="00EA75B7"/>
    <w:rsid w:val="00EB026A"/>
    <w:rsid w:val="00EB0632"/>
    <w:rsid w:val="00EB0D4F"/>
    <w:rsid w:val="00EB1B3F"/>
    <w:rsid w:val="00EB29B1"/>
    <w:rsid w:val="00EB2DD8"/>
    <w:rsid w:val="00EB2EE5"/>
    <w:rsid w:val="00EB2F0E"/>
    <w:rsid w:val="00EB3051"/>
    <w:rsid w:val="00EB3530"/>
    <w:rsid w:val="00EB3A75"/>
    <w:rsid w:val="00EB46D8"/>
    <w:rsid w:val="00EB48D9"/>
    <w:rsid w:val="00EB558B"/>
    <w:rsid w:val="00EB6648"/>
    <w:rsid w:val="00EB7296"/>
    <w:rsid w:val="00EC02A2"/>
    <w:rsid w:val="00EC044B"/>
    <w:rsid w:val="00EC0A28"/>
    <w:rsid w:val="00EC0BFD"/>
    <w:rsid w:val="00EC0DDE"/>
    <w:rsid w:val="00EC171E"/>
    <w:rsid w:val="00EC1AEC"/>
    <w:rsid w:val="00EC2BA8"/>
    <w:rsid w:val="00EC2E2A"/>
    <w:rsid w:val="00EC46F0"/>
    <w:rsid w:val="00EC4CBE"/>
    <w:rsid w:val="00EC4DCF"/>
    <w:rsid w:val="00EC4F47"/>
    <w:rsid w:val="00EC521C"/>
    <w:rsid w:val="00EC57A1"/>
    <w:rsid w:val="00EC67D5"/>
    <w:rsid w:val="00EC6D01"/>
    <w:rsid w:val="00EC70CD"/>
    <w:rsid w:val="00EC7DEE"/>
    <w:rsid w:val="00ED02C4"/>
    <w:rsid w:val="00ED1600"/>
    <w:rsid w:val="00ED1C07"/>
    <w:rsid w:val="00ED1E28"/>
    <w:rsid w:val="00ED21BD"/>
    <w:rsid w:val="00ED290C"/>
    <w:rsid w:val="00ED329C"/>
    <w:rsid w:val="00ED4C3A"/>
    <w:rsid w:val="00ED53F5"/>
    <w:rsid w:val="00ED54E0"/>
    <w:rsid w:val="00ED68BE"/>
    <w:rsid w:val="00EE06C6"/>
    <w:rsid w:val="00EE39BA"/>
    <w:rsid w:val="00EE44C2"/>
    <w:rsid w:val="00EE525B"/>
    <w:rsid w:val="00EE5797"/>
    <w:rsid w:val="00EE6E44"/>
    <w:rsid w:val="00EE755F"/>
    <w:rsid w:val="00EE7C55"/>
    <w:rsid w:val="00EE7EEA"/>
    <w:rsid w:val="00EF07DD"/>
    <w:rsid w:val="00EF0AF1"/>
    <w:rsid w:val="00EF0B31"/>
    <w:rsid w:val="00EF104E"/>
    <w:rsid w:val="00EF138A"/>
    <w:rsid w:val="00EF1A7F"/>
    <w:rsid w:val="00EF3A8D"/>
    <w:rsid w:val="00EF3C0C"/>
    <w:rsid w:val="00EF3FFC"/>
    <w:rsid w:val="00EF4424"/>
    <w:rsid w:val="00EF653A"/>
    <w:rsid w:val="00EF6FDB"/>
    <w:rsid w:val="00EF76A2"/>
    <w:rsid w:val="00EF7D89"/>
    <w:rsid w:val="00F01F78"/>
    <w:rsid w:val="00F02A8B"/>
    <w:rsid w:val="00F031EC"/>
    <w:rsid w:val="00F03482"/>
    <w:rsid w:val="00F04590"/>
    <w:rsid w:val="00F06699"/>
    <w:rsid w:val="00F06908"/>
    <w:rsid w:val="00F06E6F"/>
    <w:rsid w:val="00F07017"/>
    <w:rsid w:val="00F0711A"/>
    <w:rsid w:val="00F0762C"/>
    <w:rsid w:val="00F07779"/>
    <w:rsid w:val="00F07A99"/>
    <w:rsid w:val="00F07B9C"/>
    <w:rsid w:val="00F07EFD"/>
    <w:rsid w:val="00F10F55"/>
    <w:rsid w:val="00F11581"/>
    <w:rsid w:val="00F11B51"/>
    <w:rsid w:val="00F127BF"/>
    <w:rsid w:val="00F1302A"/>
    <w:rsid w:val="00F13270"/>
    <w:rsid w:val="00F13676"/>
    <w:rsid w:val="00F140C1"/>
    <w:rsid w:val="00F14F5D"/>
    <w:rsid w:val="00F162D7"/>
    <w:rsid w:val="00F22EC0"/>
    <w:rsid w:val="00F256A6"/>
    <w:rsid w:val="00F25B3B"/>
    <w:rsid w:val="00F25F94"/>
    <w:rsid w:val="00F26FC9"/>
    <w:rsid w:val="00F278A0"/>
    <w:rsid w:val="00F27AB5"/>
    <w:rsid w:val="00F30510"/>
    <w:rsid w:val="00F31E19"/>
    <w:rsid w:val="00F32A69"/>
    <w:rsid w:val="00F32BE9"/>
    <w:rsid w:val="00F330E5"/>
    <w:rsid w:val="00F348B3"/>
    <w:rsid w:val="00F34C98"/>
    <w:rsid w:val="00F353B8"/>
    <w:rsid w:val="00F35D3C"/>
    <w:rsid w:val="00F36618"/>
    <w:rsid w:val="00F36C30"/>
    <w:rsid w:val="00F3713C"/>
    <w:rsid w:val="00F3742A"/>
    <w:rsid w:val="00F42A37"/>
    <w:rsid w:val="00F42E15"/>
    <w:rsid w:val="00F43917"/>
    <w:rsid w:val="00F43BE8"/>
    <w:rsid w:val="00F43EED"/>
    <w:rsid w:val="00F43FDC"/>
    <w:rsid w:val="00F440A0"/>
    <w:rsid w:val="00F44253"/>
    <w:rsid w:val="00F448EA"/>
    <w:rsid w:val="00F44B0C"/>
    <w:rsid w:val="00F44F7A"/>
    <w:rsid w:val="00F4568B"/>
    <w:rsid w:val="00F460B6"/>
    <w:rsid w:val="00F4612B"/>
    <w:rsid w:val="00F50CB7"/>
    <w:rsid w:val="00F50FEB"/>
    <w:rsid w:val="00F51178"/>
    <w:rsid w:val="00F52291"/>
    <w:rsid w:val="00F5235A"/>
    <w:rsid w:val="00F54BF0"/>
    <w:rsid w:val="00F54BF9"/>
    <w:rsid w:val="00F56016"/>
    <w:rsid w:val="00F56299"/>
    <w:rsid w:val="00F56869"/>
    <w:rsid w:val="00F60478"/>
    <w:rsid w:val="00F605DD"/>
    <w:rsid w:val="00F608AC"/>
    <w:rsid w:val="00F6174E"/>
    <w:rsid w:val="00F61B04"/>
    <w:rsid w:val="00F61F01"/>
    <w:rsid w:val="00F62261"/>
    <w:rsid w:val="00F62BD6"/>
    <w:rsid w:val="00F6441E"/>
    <w:rsid w:val="00F64F08"/>
    <w:rsid w:val="00F66832"/>
    <w:rsid w:val="00F66F9E"/>
    <w:rsid w:val="00F67942"/>
    <w:rsid w:val="00F67BD1"/>
    <w:rsid w:val="00F7056D"/>
    <w:rsid w:val="00F708CC"/>
    <w:rsid w:val="00F70D09"/>
    <w:rsid w:val="00F71A58"/>
    <w:rsid w:val="00F71B18"/>
    <w:rsid w:val="00F72E7D"/>
    <w:rsid w:val="00F747E8"/>
    <w:rsid w:val="00F74DD5"/>
    <w:rsid w:val="00F75207"/>
    <w:rsid w:val="00F75768"/>
    <w:rsid w:val="00F76045"/>
    <w:rsid w:val="00F7680B"/>
    <w:rsid w:val="00F80D7F"/>
    <w:rsid w:val="00F84A1F"/>
    <w:rsid w:val="00F85140"/>
    <w:rsid w:val="00F8527C"/>
    <w:rsid w:val="00F855C8"/>
    <w:rsid w:val="00F85F9C"/>
    <w:rsid w:val="00F8746C"/>
    <w:rsid w:val="00F90A5A"/>
    <w:rsid w:val="00F90CA0"/>
    <w:rsid w:val="00F9119F"/>
    <w:rsid w:val="00F9145E"/>
    <w:rsid w:val="00F933DA"/>
    <w:rsid w:val="00F93A27"/>
    <w:rsid w:val="00F93AC7"/>
    <w:rsid w:val="00F94237"/>
    <w:rsid w:val="00F94596"/>
    <w:rsid w:val="00F94A25"/>
    <w:rsid w:val="00F95915"/>
    <w:rsid w:val="00F95C98"/>
    <w:rsid w:val="00F95D2C"/>
    <w:rsid w:val="00F97DDD"/>
    <w:rsid w:val="00F97EFB"/>
    <w:rsid w:val="00FA0CD2"/>
    <w:rsid w:val="00FA1EE1"/>
    <w:rsid w:val="00FA217F"/>
    <w:rsid w:val="00FA3C02"/>
    <w:rsid w:val="00FA4138"/>
    <w:rsid w:val="00FA63D4"/>
    <w:rsid w:val="00FB036F"/>
    <w:rsid w:val="00FB05B4"/>
    <w:rsid w:val="00FB083F"/>
    <w:rsid w:val="00FB0B03"/>
    <w:rsid w:val="00FB0D20"/>
    <w:rsid w:val="00FB1DB3"/>
    <w:rsid w:val="00FB1EB4"/>
    <w:rsid w:val="00FB269B"/>
    <w:rsid w:val="00FB27C2"/>
    <w:rsid w:val="00FB3E13"/>
    <w:rsid w:val="00FB4C37"/>
    <w:rsid w:val="00FB4C3B"/>
    <w:rsid w:val="00FB6C4E"/>
    <w:rsid w:val="00FC0010"/>
    <w:rsid w:val="00FC26DC"/>
    <w:rsid w:val="00FC29CE"/>
    <w:rsid w:val="00FC2C5D"/>
    <w:rsid w:val="00FC37FA"/>
    <w:rsid w:val="00FC3963"/>
    <w:rsid w:val="00FC47F3"/>
    <w:rsid w:val="00FC72C4"/>
    <w:rsid w:val="00FD0E21"/>
    <w:rsid w:val="00FD1593"/>
    <w:rsid w:val="00FD1B25"/>
    <w:rsid w:val="00FD1E4D"/>
    <w:rsid w:val="00FD3035"/>
    <w:rsid w:val="00FD4840"/>
    <w:rsid w:val="00FD5974"/>
    <w:rsid w:val="00FD71B2"/>
    <w:rsid w:val="00FD7AF6"/>
    <w:rsid w:val="00FD7E68"/>
    <w:rsid w:val="00FE0937"/>
    <w:rsid w:val="00FE0CE5"/>
    <w:rsid w:val="00FE11B5"/>
    <w:rsid w:val="00FE228C"/>
    <w:rsid w:val="00FE23CF"/>
    <w:rsid w:val="00FE4677"/>
    <w:rsid w:val="00FE52F2"/>
    <w:rsid w:val="00FE5D7F"/>
    <w:rsid w:val="00FE6FC1"/>
    <w:rsid w:val="00FE7071"/>
    <w:rsid w:val="00FE718B"/>
    <w:rsid w:val="00FF0862"/>
    <w:rsid w:val="00FF1B00"/>
    <w:rsid w:val="00FF38CD"/>
    <w:rsid w:val="00FF5ADE"/>
    <w:rsid w:val="00FF60F4"/>
    <w:rsid w:val="00FF66CD"/>
    <w:rsid w:val="00FF70F7"/>
    <w:rsid w:val="00FF710B"/>
    <w:rsid w:val="00FF71AF"/>
    <w:rsid w:val="00FF7F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9308B39-F809-4F0B-AB73-9F3A654D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A6"/>
    <w:rPr>
      <w:sz w:val="24"/>
      <w:szCs w:val="24"/>
      <w:lang w:val="uk-UA" w:eastAsia="ar-SA"/>
    </w:rPr>
  </w:style>
  <w:style w:type="paragraph" w:styleId="1">
    <w:name w:val="heading 1"/>
    <w:basedOn w:val="a"/>
    <w:next w:val="a"/>
    <w:qFormat/>
    <w:rsid w:val="00EE39BA"/>
    <w:pPr>
      <w:keepNext/>
      <w:spacing w:before="240" w:after="60"/>
      <w:outlineLvl w:val="0"/>
    </w:pPr>
    <w:rPr>
      <w:rFonts w:ascii="Arial" w:hAnsi="Arial" w:cs="Arial"/>
      <w:b/>
      <w:bCs/>
      <w:kern w:val="32"/>
      <w:sz w:val="32"/>
      <w:szCs w:val="32"/>
    </w:rPr>
  </w:style>
  <w:style w:type="paragraph" w:styleId="4">
    <w:name w:val="heading 4"/>
    <w:basedOn w:val="a"/>
    <w:next w:val="a"/>
    <w:qFormat/>
    <w:rsid w:val="00EE39BA"/>
    <w:pPr>
      <w:keepNext/>
      <w:spacing w:before="240" w:after="60"/>
      <w:outlineLvl w:val="3"/>
    </w:pPr>
    <w:rPr>
      <w:b/>
      <w:bCs/>
      <w:sz w:val="28"/>
      <w:szCs w:val="28"/>
    </w:rPr>
  </w:style>
  <w:style w:type="paragraph" w:styleId="8">
    <w:name w:val="heading 8"/>
    <w:basedOn w:val="a"/>
    <w:next w:val="a"/>
    <w:qFormat/>
    <w:rsid w:val="0035088F"/>
    <w:pPr>
      <w:keepNext/>
      <w:jc w:val="center"/>
      <w:outlineLvl w:val="7"/>
    </w:pPr>
    <w:rPr>
      <w:b/>
      <w:color w:val="FF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394DA6"/>
    <w:rPr>
      <w:rFonts w:ascii="Times New Roman" w:eastAsia="Times New Roman" w:hAnsi="Times New Roman" w:cs="Times New Roman"/>
    </w:rPr>
  </w:style>
  <w:style w:type="character" w:customStyle="1" w:styleId="WW8Num3z1">
    <w:name w:val="WW8Num3z1"/>
    <w:rsid w:val="00394DA6"/>
    <w:rPr>
      <w:rFonts w:ascii="Courier New" w:hAnsi="Courier New" w:cs="Courier New"/>
    </w:rPr>
  </w:style>
  <w:style w:type="character" w:customStyle="1" w:styleId="WW8Num3z2">
    <w:name w:val="WW8Num3z2"/>
    <w:rsid w:val="00394DA6"/>
    <w:rPr>
      <w:rFonts w:ascii="Wingdings" w:hAnsi="Wingdings" w:cs="Times New Roman"/>
    </w:rPr>
  </w:style>
  <w:style w:type="character" w:customStyle="1" w:styleId="WW8Num3z3">
    <w:name w:val="WW8Num3z3"/>
    <w:rsid w:val="00394DA6"/>
    <w:rPr>
      <w:rFonts w:ascii="Symbol" w:hAnsi="Symbol" w:cs="Times New Roman"/>
    </w:rPr>
  </w:style>
  <w:style w:type="character" w:customStyle="1" w:styleId="WW8Num4z1">
    <w:name w:val="WW8Num4z1"/>
    <w:rsid w:val="00394DA6"/>
    <w:rPr>
      <w:rFonts w:ascii="Courier New" w:hAnsi="Courier New" w:cs="Courier New"/>
    </w:rPr>
  </w:style>
  <w:style w:type="character" w:customStyle="1" w:styleId="WW8Num4z2">
    <w:name w:val="WW8Num4z2"/>
    <w:rsid w:val="00394DA6"/>
    <w:rPr>
      <w:rFonts w:ascii="Wingdings" w:hAnsi="Wingdings" w:cs="Times New Roman"/>
    </w:rPr>
  </w:style>
  <w:style w:type="character" w:customStyle="1" w:styleId="WW8Num4z3">
    <w:name w:val="WW8Num4z3"/>
    <w:rsid w:val="00394DA6"/>
    <w:rPr>
      <w:rFonts w:ascii="Symbol" w:hAnsi="Symbol" w:cs="Times New Roman"/>
    </w:rPr>
  </w:style>
  <w:style w:type="character" w:customStyle="1" w:styleId="WW8Num5z0">
    <w:name w:val="WW8Num5z0"/>
    <w:rsid w:val="00394DA6"/>
    <w:rPr>
      <w:rFonts w:ascii="Symbol" w:hAnsi="Symbol"/>
    </w:rPr>
  </w:style>
  <w:style w:type="character" w:customStyle="1" w:styleId="WW8Num5z1">
    <w:name w:val="WW8Num5z1"/>
    <w:rsid w:val="00394DA6"/>
    <w:rPr>
      <w:rFonts w:ascii="Courier New" w:hAnsi="Courier New"/>
    </w:rPr>
  </w:style>
  <w:style w:type="character" w:customStyle="1" w:styleId="WW8Num5z2">
    <w:name w:val="WW8Num5z2"/>
    <w:rsid w:val="00394DA6"/>
    <w:rPr>
      <w:rFonts w:ascii="Wingdings" w:hAnsi="Wingdings"/>
    </w:rPr>
  </w:style>
  <w:style w:type="character" w:customStyle="1" w:styleId="WW8Num6z0">
    <w:name w:val="WW8Num6z0"/>
    <w:rsid w:val="00394DA6"/>
    <w:rPr>
      <w:rFonts w:ascii="Times New Roman" w:eastAsia="Times New Roman" w:hAnsi="Times New Roman" w:cs="Times New Roman"/>
    </w:rPr>
  </w:style>
  <w:style w:type="character" w:customStyle="1" w:styleId="WW8Num6z1">
    <w:name w:val="WW8Num6z1"/>
    <w:rsid w:val="00394DA6"/>
    <w:rPr>
      <w:rFonts w:ascii="Courier New" w:hAnsi="Courier New" w:cs="Courier New"/>
    </w:rPr>
  </w:style>
  <w:style w:type="character" w:customStyle="1" w:styleId="WW8Num6z2">
    <w:name w:val="WW8Num6z2"/>
    <w:rsid w:val="00394DA6"/>
    <w:rPr>
      <w:rFonts w:ascii="Wingdings" w:hAnsi="Wingdings"/>
    </w:rPr>
  </w:style>
  <w:style w:type="character" w:customStyle="1" w:styleId="WW8Num6z3">
    <w:name w:val="WW8Num6z3"/>
    <w:rsid w:val="00394DA6"/>
    <w:rPr>
      <w:rFonts w:ascii="Symbol" w:hAnsi="Symbol"/>
    </w:rPr>
  </w:style>
  <w:style w:type="character" w:customStyle="1" w:styleId="WW8Num7z0">
    <w:name w:val="WW8Num7z0"/>
    <w:rsid w:val="00394DA6"/>
    <w:rPr>
      <w:rFonts w:ascii="Symbol" w:hAnsi="Symbol"/>
    </w:rPr>
  </w:style>
  <w:style w:type="character" w:customStyle="1" w:styleId="WW8Num7z1">
    <w:name w:val="WW8Num7z1"/>
    <w:rsid w:val="00394DA6"/>
    <w:rPr>
      <w:rFonts w:ascii="Courier New" w:hAnsi="Courier New" w:cs="Courier New"/>
    </w:rPr>
  </w:style>
  <w:style w:type="character" w:customStyle="1" w:styleId="WW8Num7z2">
    <w:name w:val="WW8Num7z2"/>
    <w:rsid w:val="00394DA6"/>
    <w:rPr>
      <w:rFonts w:ascii="Wingdings" w:hAnsi="Wingdings"/>
    </w:rPr>
  </w:style>
  <w:style w:type="character" w:customStyle="1" w:styleId="WW8Num8z0">
    <w:name w:val="WW8Num8z0"/>
    <w:rsid w:val="00394DA6"/>
    <w:rPr>
      <w:rFonts w:ascii="Times New Roman" w:eastAsia="Times New Roman" w:hAnsi="Times New Roman"/>
    </w:rPr>
  </w:style>
  <w:style w:type="character" w:customStyle="1" w:styleId="WW8Num8z1">
    <w:name w:val="WW8Num8z1"/>
    <w:rsid w:val="00394DA6"/>
    <w:rPr>
      <w:rFonts w:ascii="Courier New" w:hAnsi="Courier New" w:cs="Courier New"/>
    </w:rPr>
  </w:style>
  <w:style w:type="character" w:customStyle="1" w:styleId="WW8Num8z2">
    <w:name w:val="WW8Num8z2"/>
    <w:rsid w:val="00394DA6"/>
    <w:rPr>
      <w:rFonts w:ascii="Wingdings" w:hAnsi="Wingdings" w:cs="Wingdings"/>
    </w:rPr>
  </w:style>
  <w:style w:type="character" w:customStyle="1" w:styleId="WW8Num8z3">
    <w:name w:val="WW8Num8z3"/>
    <w:rsid w:val="00394DA6"/>
    <w:rPr>
      <w:rFonts w:ascii="Symbol" w:hAnsi="Symbol" w:cs="Symbol"/>
    </w:rPr>
  </w:style>
  <w:style w:type="character" w:customStyle="1" w:styleId="WW8Num9z0">
    <w:name w:val="WW8Num9z0"/>
    <w:rsid w:val="00394DA6"/>
    <w:rPr>
      <w:rFonts w:ascii="Symbol" w:hAnsi="Symbol"/>
    </w:rPr>
  </w:style>
  <w:style w:type="character" w:customStyle="1" w:styleId="WW8Num9z1">
    <w:name w:val="WW8Num9z1"/>
    <w:rsid w:val="00394DA6"/>
    <w:rPr>
      <w:rFonts w:ascii="Courier New" w:hAnsi="Courier New"/>
    </w:rPr>
  </w:style>
  <w:style w:type="character" w:customStyle="1" w:styleId="WW8Num9z2">
    <w:name w:val="WW8Num9z2"/>
    <w:rsid w:val="00394DA6"/>
    <w:rPr>
      <w:rFonts w:ascii="Wingdings" w:hAnsi="Wingdings"/>
    </w:rPr>
  </w:style>
  <w:style w:type="character" w:customStyle="1" w:styleId="WW8Num10z0">
    <w:name w:val="WW8Num10z0"/>
    <w:rsid w:val="00394DA6"/>
    <w:rPr>
      <w:rFonts w:ascii="Symbol" w:hAnsi="Symbol"/>
    </w:rPr>
  </w:style>
  <w:style w:type="character" w:customStyle="1" w:styleId="WW8Num10z1">
    <w:name w:val="WW8Num10z1"/>
    <w:rsid w:val="00394DA6"/>
    <w:rPr>
      <w:rFonts w:ascii="Courier New" w:hAnsi="Courier New" w:cs="Courier New"/>
    </w:rPr>
  </w:style>
  <w:style w:type="character" w:customStyle="1" w:styleId="WW8Num10z2">
    <w:name w:val="WW8Num10z2"/>
    <w:rsid w:val="00394DA6"/>
    <w:rPr>
      <w:rFonts w:ascii="Wingdings" w:hAnsi="Wingdings"/>
    </w:rPr>
  </w:style>
  <w:style w:type="character" w:customStyle="1" w:styleId="WW8Num11z0">
    <w:name w:val="WW8Num11z0"/>
    <w:rsid w:val="00394DA6"/>
    <w:rPr>
      <w:rFonts w:ascii="Symbol" w:hAnsi="Symbol"/>
    </w:rPr>
  </w:style>
  <w:style w:type="character" w:customStyle="1" w:styleId="WW8Num11z1">
    <w:name w:val="WW8Num11z1"/>
    <w:rsid w:val="00394DA6"/>
    <w:rPr>
      <w:rFonts w:ascii="Courier New" w:hAnsi="Courier New" w:cs="Courier New"/>
    </w:rPr>
  </w:style>
  <w:style w:type="character" w:customStyle="1" w:styleId="WW8Num11z2">
    <w:name w:val="WW8Num11z2"/>
    <w:rsid w:val="00394DA6"/>
    <w:rPr>
      <w:rFonts w:ascii="Wingdings" w:hAnsi="Wingdings"/>
    </w:rPr>
  </w:style>
  <w:style w:type="character" w:customStyle="1" w:styleId="WW8Num12z1">
    <w:name w:val="WW8Num12z1"/>
    <w:rsid w:val="00394DA6"/>
    <w:rPr>
      <w:rFonts w:ascii="Courier New" w:hAnsi="Courier New" w:cs="Courier New"/>
    </w:rPr>
  </w:style>
  <w:style w:type="character" w:customStyle="1" w:styleId="WW8Num12z2">
    <w:name w:val="WW8Num12z2"/>
    <w:rsid w:val="00394DA6"/>
    <w:rPr>
      <w:rFonts w:ascii="Wingdings" w:hAnsi="Wingdings" w:cs="Times New Roman"/>
    </w:rPr>
  </w:style>
  <w:style w:type="character" w:customStyle="1" w:styleId="WW8Num12z3">
    <w:name w:val="WW8Num12z3"/>
    <w:rsid w:val="00394DA6"/>
    <w:rPr>
      <w:rFonts w:ascii="Symbol" w:hAnsi="Symbol" w:cs="Times New Roman"/>
    </w:rPr>
  </w:style>
  <w:style w:type="character" w:customStyle="1" w:styleId="WW8Num13z0">
    <w:name w:val="WW8Num13z0"/>
    <w:rsid w:val="00394DA6"/>
    <w:rPr>
      <w:rFonts w:ascii="Symbol" w:hAnsi="Symbol"/>
    </w:rPr>
  </w:style>
  <w:style w:type="character" w:customStyle="1" w:styleId="WW8Num13z1">
    <w:name w:val="WW8Num13z1"/>
    <w:rsid w:val="00394DA6"/>
    <w:rPr>
      <w:rFonts w:ascii="Courier New" w:hAnsi="Courier New" w:cs="Courier New"/>
    </w:rPr>
  </w:style>
  <w:style w:type="character" w:customStyle="1" w:styleId="WW8Num13z2">
    <w:name w:val="WW8Num13z2"/>
    <w:rsid w:val="00394DA6"/>
    <w:rPr>
      <w:rFonts w:ascii="Wingdings" w:hAnsi="Wingdings"/>
    </w:rPr>
  </w:style>
  <w:style w:type="character" w:customStyle="1" w:styleId="WW8Num14z0">
    <w:name w:val="WW8Num14z0"/>
    <w:rsid w:val="00394DA6"/>
    <w:rPr>
      <w:rFonts w:ascii="Symbol" w:hAnsi="Symbol"/>
    </w:rPr>
  </w:style>
  <w:style w:type="character" w:customStyle="1" w:styleId="WW8Num14z1">
    <w:name w:val="WW8Num14z1"/>
    <w:rsid w:val="00394DA6"/>
    <w:rPr>
      <w:rFonts w:ascii="Courier New" w:hAnsi="Courier New" w:cs="Courier New"/>
    </w:rPr>
  </w:style>
  <w:style w:type="character" w:customStyle="1" w:styleId="WW8Num14z2">
    <w:name w:val="WW8Num14z2"/>
    <w:rsid w:val="00394DA6"/>
    <w:rPr>
      <w:rFonts w:ascii="Wingdings" w:hAnsi="Wingdings"/>
    </w:rPr>
  </w:style>
  <w:style w:type="character" w:customStyle="1" w:styleId="WW8Num15z0">
    <w:name w:val="WW8Num15z0"/>
    <w:rsid w:val="00394DA6"/>
    <w:rPr>
      <w:rFonts w:ascii="Times New Roman" w:eastAsia="Times New Roman" w:hAnsi="Times New Roman" w:cs="Times New Roman"/>
    </w:rPr>
  </w:style>
  <w:style w:type="character" w:customStyle="1" w:styleId="WW8Num15z1">
    <w:name w:val="WW8Num15z1"/>
    <w:rsid w:val="00394DA6"/>
    <w:rPr>
      <w:rFonts w:ascii="Courier New" w:hAnsi="Courier New" w:cs="Courier New"/>
    </w:rPr>
  </w:style>
  <w:style w:type="character" w:customStyle="1" w:styleId="WW8Num15z2">
    <w:name w:val="WW8Num15z2"/>
    <w:rsid w:val="00394DA6"/>
    <w:rPr>
      <w:rFonts w:ascii="Wingdings" w:hAnsi="Wingdings"/>
    </w:rPr>
  </w:style>
  <w:style w:type="character" w:customStyle="1" w:styleId="WW8Num15z3">
    <w:name w:val="WW8Num15z3"/>
    <w:rsid w:val="00394DA6"/>
    <w:rPr>
      <w:rFonts w:ascii="Symbol" w:hAnsi="Symbol"/>
    </w:rPr>
  </w:style>
  <w:style w:type="character" w:customStyle="1" w:styleId="WW8Num16z0">
    <w:name w:val="WW8Num16z0"/>
    <w:rsid w:val="00394DA6"/>
    <w:rPr>
      <w:rFonts w:ascii="Symbol" w:hAnsi="Symbol"/>
    </w:rPr>
  </w:style>
  <w:style w:type="character" w:customStyle="1" w:styleId="WW8Num16z1">
    <w:name w:val="WW8Num16z1"/>
    <w:rsid w:val="00394DA6"/>
    <w:rPr>
      <w:rFonts w:ascii="Courier New" w:hAnsi="Courier New" w:cs="Courier New"/>
    </w:rPr>
  </w:style>
  <w:style w:type="character" w:customStyle="1" w:styleId="WW8Num16z2">
    <w:name w:val="WW8Num16z2"/>
    <w:rsid w:val="00394DA6"/>
    <w:rPr>
      <w:rFonts w:ascii="Wingdings" w:hAnsi="Wingdings"/>
    </w:rPr>
  </w:style>
  <w:style w:type="character" w:customStyle="1" w:styleId="WW8Num17z0">
    <w:name w:val="WW8Num17z0"/>
    <w:rsid w:val="00394DA6"/>
    <w:rPr>
      <w:rFonts w:ascii="Symbol" w:hAnsi="Symbol"/>
    </w:rPr>
  </w:style>
  <w:style w:type="character" w:customStyle="1" w:styleId="WW8Num17z1">
    <w:name w:val="WW8Num17z1"/>
    <w:rsid w:val="00394DA6"/>
    <w:rPr>
      <w:rFonts w:ascii="Courier New" w:hAnsi="Courier New" w:cs="Courier New"/>
    </w:rPr>
  </w:style>
  <w:style w:type="character" w:customStyle="1" w:styleId="WW8Num17z2">
    <w:name w:val="WW8Num17z2"/>
    <w:rsid w:val="00394DA6"/>
    <w:rPr>
      <w:rFonts w:ascii="Wingdings" w:hAnsi="Wingdings"/>
    </w:rPr>
  </w:style>
  <w:style w:type="character" w:customStyle="1" w:styleId="WW8Num18z0">
    <w:name w:val="WW8Num18z0"/>
    <w:rsid w:val="00394DA6"/>
    <w:rPr>
      <w:rFonts w:ascii="Symbol" w:hAnsi="Symbol"/>
    </w:rPr>
  </w:style>
  <w:style w:type="character" w:customStyle="1" w:styleId="WW8Num18z1">
    <w:name w:val="WW8Num18z1"/>
    <w:rsid w:val="00394DA6"/>
    <w:rPr>
      <w:rFonts w:ascii="Courier New" w:hAnsi="Courier New" w:cs="Courier New"/>
    </w:rPr>
  </w:style>
  <w:style w:type="character" w:customStyle="1" w:styleId="WW8Num18z2">
    <w:name w:val="WW8Num18z2"/>
    <w:rsid w:val="00394DA6"/>
    <w:rPr>
      <w:rFonts w:ascii="Wingdings" w:hAnsi="Wingdings"/>
    </w:rPr>
  </w:style>
  <w:style w:type="character" w:customStyle="1" w:styleId="WW8Num19z0">
    <w:name w:val="WW8Num19z0"/>
    <w:rsid w:val="00394DA6"/>
    <w:rPr>
      <w:rFonts w:ascii="Times New Roman" w:eastAsia="Times New Roman" w:hAnsi="Times New Roman" w:cs="Times New Roman"/>
    </w:rPr>
  </w:style>
  <w:style w:type="character" w:customStyle="1" w:styleId="WW8Num19z1">
    <w:name w:val="WW8Num19z1"/>
    <w:rsid w:val="00394DA6"/>
    <w:rPr>
      <w:rFonts w:ascii="Courier New" w:hAnsi="Courier New" w:cs="Courier New"/>
    </w:rPr>
  </w:style>
  <w:style w:type="character" w:customStyle="1" w:styleId="WW8Num19z2">
    <w:name w:val="WW8Num19z2"/>
    <w:rsid w:val="00394DA6"/>
    <w:rPr>
      <w:rFonts w:ascii="Wingdings" w:hAnsi="Wingdings"/>
    </w:rPr>
  </w:style>
  <w:style w:type="character" w:customStyle="1" w:styleId="WW8Num19z3">
    <w:name w:val="WW8Num19z3"/>
    <w:rsid w:val="00394DA6"/>
    <w:rPr>
      <w:rFonts w:ascii="Symbol" w:hAnsi="Symbol"/>
    </w:rPr>
  </w:style>
  <w:style w:type="character" w:customStyle="1" w:styleId="10">
    <w:name w:val="Основной шрифт абзаца1"/>
    <w:rsid w:val="00394DA6"/>
  </w:style>
  <w:style w:type="character" w:styleId="a3">
    <w:name w:val="Hyperlink"/>
    <w:rsid w:val="00394DA6"/>
    <w:rPr>
      <w:color w:val="0000FF"/>
      <w:u w:val="single"/>
    </w:rPr>
  </w:style>
  <w:style w:type="character" w:styleId="a4">
    <w:name w:val="Strong"/>
    <w:qFormat/>
    <w:rsid w:val="00394DA6"/>
    <w:rPr>
      <w:b/>
      <w:bCs/>
    </w:rPr>
  </w:style>
  <w:style w:type="character" w:customStyle="1" w:styleId="3">
    <w:name w:val="Знак Знак3"/>
    <w:rsid w:val="00394DA6"/>
    <w:rPr>
      <w:sz w:val="16"/>
      <w:szCs w:val="16"/>
      <w:lang w:val="uk-UA" w:eastAsia="ar-SA" w:bidi="ar-SA"/>
    </w:rPr>
  </w:style>
  <w:style w:type="character" w:styleId="a5">
    <w:name w:val="page number"/>
    <w:basedOn w:val="10"/>
    <w:rsid w:val="00394DA6"/>
  </w:style>
  <w:style w:type="paragraph" w:customStyle="1" w:styleId="a6">
    <w:name w:val="Заголовок"/>
    <w:basedOn w:val="a"/>
    <w:next w:val="a7"/>
    <w:rsid w:val="00394DA6"/>
    <w:pPr>
      <w:keepNext/>
      <w:spacing w:before="240" w:after="120"/>
    </w:pPr>
    <w:rPr>
      <w:rFonts w:ascii="Arial" w:eastAsia="DejaVu Sans" w:hAnsi="Arial" w:cs="Tahoma"/>
      <w:sz w:val="28"/>
      <w:szCs w:val="28"/>
    </w:rPr>
  </w:style>
  <w:style w:type="paragraph" w:styleId="a7">
    <w:name w:val="Body Text"/>
    <w:basedOn w:val="a"/>
    <w:link w:val="a8"/>
    <w:rsid w:val="00394DA6"/>
    <w:pPr>
      <w:jc w:val="both"/>
    </w:pPr>
    <w:rPr>
      <w:b/>
      <w:sz w:val="28"/>
    </w:rPr>
  </w:style>
  <w:style w:type="paragraph" w:styleId="a9">
    <w:name w:val="List"/>
    <w:basedOn w:val="a7"/>
    <w:rsid w:val="00394DA6"/>
    <w:rPr>
      <w:rFonts w:cs="Tahoma"/>
    </w:rPr>
  </w:style>
  <w:style w:type="paragraph" w:customStyle="1" w:styleId="11">
    <w:name w:val="Назва1"/>
    <w:basedOn w:val="a"/>
    <w:rsid w:val="00394DA6"/>
    <w:pPr>
      <w:suppressLineNumbers/>
      <w:spacing w:before="120" w:after="120"/>
    </w:pPr>
    <w:rPr>
      <w:rFonts w:cs="Tahoma"/>
      <w:i/>
      <w:iCs/>
    </w:rPr>
  </w:style>
  <w:style w:type="paragraph" w:customStyle="1" w:styleId="aa">
    <w:name w:val="Покажчик"/>
    <w:basedOn w:val="a"/>
    <w:rsid w:val="00394DA6"/>
    <w:pPr>
      <w:suppressLineNumbers/>
    </w:pPr>
    <w:rPr>
      <w:rFonts w:cs="Tahoma"/>
    </w:rPr>
  </w:style>
  <w:style w:type="paragraph" w:styleId="ab">
    <w:name w:val="Body Text Indent"/>
    <w:basedOn w:val="a"/>
    <w:link w:val="ac"/>
    <w:rsid w:val="00394DA6"/>
    <w:pPr>
      <w:ind w:firstLine="720"/>
      <w:jc w:val="both"/>
    </w:pPr>
    <w:rPr>
      <w:sz w:val="28"/>
      <w:szCs w:val="28"/>
    </w:rPr>
  </w:style>
  <w:style w:type="paragraph" w:customStyle="1" w:styleId="22">
    <w:name w:val="Основной текст с отступом 22"/>
    <w:basedOn w:val="a"/>
    <w:rsid w:val="00394DA6"/>
    <w:pPr>
      <w:ind w:firstLine="700"/>
      <w:jc w:val="both"/>
    </w:pPr>
    <w:rPr>
      <w:sz w:val="28"/>
    </w:rPr>
  </w:style>
  <w:style w:type="paragraph" w:customStyle="1" w:styleId="21">
    <w:name w:val="Основной текст 21"/>
    <w:basedOn w:val="a"/>
    <w:rsid w:val="00394DA6"/>
    <w:pPr>
      <w:spacing w:after="120" w:line="480" w:lineRule="auto"/>
    </w:pPr>
  </w:style>
  <w:style w:type="paragraph" w:customStyle="1" w:styleId="32">
    <w:name w:val="Основной текст 32"/>
    <w:basedOn w:val="a"/>
    <w:rsid w:val="00394DA6"/>
    <w:pPr>
      <w:spacing w:after="120"/>
    </w:pPr>
    <w:rPr>
      <w:sz w:val="16"/>
      <w:szCs w:val="16"/>
    </w:rPr>
  </w:style>
  <w:style w:type="paragraph" w:customStyle="1" w:styleId="31">
    <w:name w:val="Основной текст с отступом 31"/>
    <w:basedOn w:val="a"/>
    <w:rsid w:val="00394DA6"/>
    <w:pPr>
      <w:spacing w:after="120"/>
      <w:ind w:left="283"/>
    </w:pPr>
    <w:rPr>
      <w:sz w:val="16"/>
      <w:szCs w:val="16"/>
    </w:rPr>
  </w:style>
  <w:style w:type="paragraph" w:customStyle="1" w:styleId="Iniiaiieoaeno">
    <w:name w:val="Iniiaiie oaeno"/>
    <w:basedOn w:val="a"/>
    <w:rsid w:val="00394DA6"/>
    <w:pPr>
      <w:suppressAutoHyphens/>
      <w:overflowPunct w:val="0"/>
      <w:autoSpaceDE w:val="0"/>
      <w:spacing w:line="228" w:lineRule="auto"/>
      <w:jc w:val="both"/>
    </w:pPr>
    <w:rPr>
      <w:sz w:val="28"/>
      <w:szCs w:val="28"/>
      <w:lang w:val="en-US"/>
    </w:rPr>
  </w:style>
  <w:style w:type="paragraph" w:customStyle="1" w:styleId="12">
    <w:name w:val="Текст1"/>
    <w:basedOn w:val="a"/>
    <w:rsid w:val="00394DA6"/>
    <w:rPr>
      <w:rFonts w:ascii="Courier New" w:hAnsi="Courier New" w:cs="Courier New"/>
      <w:sz w:val="20"/>
      <w:szCs w:val="20"/>
      <w:lang w:val="ru-RU"/>
    </w:rPr>
  </w:style>
  <w:style w:type="paragraph" w:styleId="ad">
    <w:name w:val="Title"/>
    <w:basedOn w:val="a"/>
    <w:next w:val="ae"/>
    <w:qFormat/>
    <w:rsid w:val="00394DA6"/>
    <w:pPr>
      <w:autoSpaceDE w:val="0"/>
      <w:jc w:val="center"/>
    </w:pPr>
    <w:rPr>
      <w:b/>
      <w:i/>
      <w:sz w:val="32"/>
      <w:szCs w:val="20"/>
    </w:rPr>
  </w:style>
  <w:style w:type="paragraph" w:styleId="ae">
    <w:name w:val="Subtitle"/>
    <w:basedOn w:val="a6"/>
    <w:next w:val="a7"/>
    <w:qFormat/>
    <w:rsid w:val="00394DA6"/>
    <w:pPr>
      <w:jc w:val="center"/>
    </w:pPr>
    <w:rPr>
      <w:i/>
      <w:iCs/>
    </w:rPr>
  </w:style>
  <w:style w:type="paragraph" w:customStyle="1" w:styleId="13">
    <w:name w:val="Обычный1"/>
    <w:rsid w:val="00394DA6"/>
    <w:pPr>
      <w:suppressAutoHyphens/>
      <w:autoSpaceDE w:val="0"/>
    </w:pPr>
    <w:rPr>
      <w:rFonts w:eastAsia="Arial"/>
      <w:lang w:eastAsia="ar-SA"/>
    </w:rPr>
  </w:style>
  <w:style w:type="paragraph" w:customStyle="1" w:styleId="af">
    <w:name w:val="Знак Знак Знак Знак Знак Знак Знак Знак"/>
    <w:basedOn w:val="a"/>
    <w:rsid w:val="00394DA6"/>
    <w:rPr>
      <w:rFonts w:ascii="Verdana" w:hAnsi="Verdana" w:cs="Verdana"/>
      <w:sz w:val="20"/>
      <w:szCs w:val="20"/>
      <w:lang w:val="en-US"/>
    </w:rPr>
  </w:style>
  <w:style w:type="paragraph" w:customStyle="1" w:styleId="af0">
    <w:name w:val="Знак Знак Знак Знак Знак"/>
    <w:basedOn w:val="a"/>
    <w:rsid w:val="00394DA6"/>
    <w:rPr>
      <w:rFonts w:ascii="Verdana" w:hAnsi="Verdana" w:cs="Verdana"/>
      <w:sz w:val="20"/>
      <w:szCs w:val="20"/>
      <w:lang w:val="en-US"/>
    </w:rPr>
  </w:style>
  <w:style w:type="paragraph" w:styleId="af1">
    <w:name w:val="header"/>
    <w:basedOn w:val="a"/>
    <w:link w:val="af2"/>
    <w:rsid w:val="00394DA6"/>
    <w:pPr>
      <w:tabs>
        <w:tab w:val="center" w:pos="4153"/>
        <w:tab w:val="right" w:pos="8306"/>
      </w:tabs>
    </w:pPr>
  </w:style>
  <w:style w:type="paragraph" w:customStyle="1" w:styleId="14">
    <w:name w:val="Знак Знак Знак Знак Знак Знак1 Знак Знак Знак Знак Знак Знак Знак Знак Знак Знак Знак Знак Знак Знак Знак Знак Знак Знак"/>
    <w:basedOn w:val="a"/>
    <w:rsid w:val="00394DA6"/>
    <w:rPr>
      <w:rFonts w:ascii="Verdana" w:hAnsi="Verdana" w:cs="Verdana"/>
      <w:sz w:val="20"/>
      <w:szCs w:val="20"/>
      <w:lang w:val="en-US"/>
    </w:rPr>
  </w:style>
  <w:style w:type="paragraph" w:customStyle="1" w:styleId="par">
    <w:name w:val="par"/>
    <w:basedOn w:val="a"/>
    <w:rsid w:val="00394DA6"/>
    <w:pPr>
      <w:autoSpaceDE w:val="0"/>
      <w:spacing w:before="100" w:after="100"/>
    </w:pPr>
    <w:rPr>
      <w:szCs w:val="20"/>
      <w:lang w:val="ru-RU"/>
    </w:rPr>
  </w:style>
  <w:style w:type="paragraph" w:styleId="af3">
    <w:name w:val="Balloon Text"/>
    <w:basedOn w:val="a"/>
    <w:rsid w:val="00394DA6"/>
    <w:rPr>
      <w:rFonts w:ascii="Tahoma" w:hAnsi="Tahoma" w:cs="Tahoma"/>
      <w:sz w:val="16"/>
      <w:szCs w:val="16"/>
    </w:rPr>
  </w:style>
  <w:style w:type="paragraph" w:customStyle="1" w:styleId="15">
    <w:name w:val="Название объекта1"/>
    <w:basedOn w:val="a"/>
    <w:next w:val="a"/>
    <w:rsid w:val="00394DA6"/>
    <w:pPr>
      <w:jc w:val="center"/>
    </w:pPr>
    <w:rPr>
      <w:b/>
      <w:bCs/>
    </w:rPr>
  </w:style>
  <w:style w:type="paragraph" w:customStyle="1" w:styleId="16">
    <w:name w:val="Цитата1"/>
    <w:basedOn w:val="a"/>
    <w:rsid w:val="00394DA6"/>
    <w:pPr>
      <w:tabs>
        <w:tab w:val="left" w:pos="5529"/>
      </w:tabs>
      <w:ind w:left="567" w:right="4364"/>
      <w:jc w:val="both"/>
    </w:pPr>
    <w:rPr>
      <w:i/>
      <w:iCs/>
      <w:szCs w:val="20"/>
    </w:rPr>
  </w:style>
  <w:style w:type="paragraph" w:customStyle="1" w:styleId="af4">
    <w:name w:val="Знак Знак"/>
    <w:basedOn w:val="a"/>
    <w:rsid w:val="00394DA6"/>
    <w:rPr>
      <w:rFonts w:ascii="Verdana" w:hAnsi="Verdana" w:cs="Verdana"/>
      <w:sz w:val="20"/>
      <w:szCs w:val="20"/>
      <w:lang w:val="en-US"/>
    </w:rPr>
  </w:style>
  <w:style w:type="paragraph" w:customStyle="1" w:styleId="110">
    <w:name w:val="Знак Знак Знак Знак Знак Знак Знак Знак Знак Знак Знак Знак1 Знак Знак Знак Знак Знак Знак1 Знак Знак Знак"/>
    <w:basedOn w:val="a"/>
    <w:rsid w:val="00394DA6"/>
    <w:rPr>
      <w:rFonts w:ascii="Verdana" w:hAnsi="Verdana" w:cs="Verdana"/>
      <w:sz w:val="20"/>
      <w:szCs w:val="20"/>
      <w:lang w:val="en-US"/>
    </w:rPr>
  </w:style>
  <w:style w:type="paragraph" w:customStyle="1" w:styleId="Iacaaiea">
    <w:name w:val="Iacaaiea"/>
    <w:basedOn w:val="a"/>
    <w:rsid w:val="00394DA6"/>
    <w:pPr>
      <w:suppressAutoHyphens/>
      <w:autoSpaceDE w:val="0"/>
      <w:spacing w:line="228" w:lineRule="auto"/>
      <w:jc w:val="center"/>
    </w:pPr>
    <w:rPr>
      <w:b/>
      <w:bCs/>
      <w:i/>
      <w:iCs/>
      <w:sz w:val="32"/>
      <w:szCs w:val="32"/>
      <w:lang w:val="en-US"/>
    </w:rPr>
  </w:style>
  <w:style w:type="paragraph" w:customStyle="1" w:styleId="17">
    <w:name w:val="Знак Знак1"/>
    <w:basedOn w:val="a"/>
    <w:rsid w:val="00394DA6"/>
    <w:rPr>
      <w:rFonts w:ascii="Verdana" w:hAnsi="Verdana" w:cs="Verdana"/>
      <w:sz w:val="20"/>
      <w:szCs w:val="20"/>
      <w:lang w:val="en-US"/>
    </w:rPr>
  </w:style>
  <w:style w:type="paragraph" w:customStyle="1" w:styleId="2">
    <w:name w:val="Знак Знак2"/>
    <w:basedOn w:val="a"/>
    <w:rsid w:val="00394DA6"/>
    <w:rPr>
      <w:rFonts w:ascii="Verdana" w:hAnsi="Verdana" w:cs="Verdana"/>
      <w:sz w:val="20"/>
      <w:szCs w:val="20"/>
      <w:lang w:val="en-US"/>
    </w:rPr>
  </w:style>
  <w:style w:type="paragraph" w:styleId="HTML">
    <w:name w:val="HTML Preformatted"/>
    <w:basedOn w:val="a"/>
    <w:rsid w:val="00394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ru-RU"/>
    </w:rPr>
  </w:style>
  <w:style w:type="paragraph" w:styleId="af5">
    <w:name w:val="Normal (Web)"/>
    <w:basedOn w:val="a"/>
    <w:rsid w:val="00394DA6"/>
    <w:pPr>
      <w:spacing w:before="280" w:after="280"/>
    </w:pPr>
    <w:rPr>
      <w:lang w:val="ru-RU"/>
    </w:rPr>
  </w:style>
  <w:style w:type="paragraph" w:customStyle="1" w:styleId="af6">
    <w:name w:val="Знак Знак Знак Знак Знак Знак"/>
    <w:basedOn w:val="a"/>
    <w:rsid w:val="00394DA6"/>
    <w:rPr>
      <w:rFonts w:ascii="Verdana" w:hAnsi="Verdana" w:cs="Verdana"/>
      <w:sz w:val="20"/>
      <w:szCs w:val="20"/>
      <w:lang w:val="en-US"/>
    </w:rPr>
  </w:style>
  <w:style w:type="paragraph" w:customStyle="1" w:styleId="5">
    <w:name w:val="Знак Знак5"/>
    <w:basedOn w:val="a"/>
    <w:rsid w:val="00394DA6"/>
    <w:rPr>
      <w:rFonts w:ascii="Verdana" w:hAnsi="Verdana" w:cs="Verdana"/>
      <w:sz w:val="20"/>
      <w:szCs w:val="20"/>
      <w:lang w:val="en-US"/>
    </w:rPr>
  </w:style>
  <w:style w:type="paragraph" w:customStyle="1" w:styleId="af7">
    <w:name w:val="Таблица"/>
    <w:basedOn w:val="a"/>
    <w:rsid w:val="00394DA6"/>
    <w:rPr>
      <w:szCs w:val="20"/>
    </w:rPr>
  </w:style>
  <w:style w:type="paragraph" w:customStyle="1" w:styleId="18">
    <w:name w:val="Знак Знак Знак Знак Знак Знак1 Знак Знак Знак Знак Знак Знак Знак Знак Знак Знак Знак Знак Знак Знак Знак Знак Знак Знак Знак Знак"/>
    <w:basedOn w:val="a"/>
    <w:rsid w:val="00394DA6"/>
    <w:rPr>
      <w:rFonts w:ascii="Verdana" w:hAnsi="Verdana" w:cs="Verdana"/>
      <w:sz w:val="20"/>
      <w:szCs w:val="20"/>
      <w:lang w:val="en-US"/>
    </w:rPr>
  </w:style>
  <w:style w:type="paragraph" w:customStyle="1" w:styleId="19">
    <w:name w:val="Знак Знак Знак Знак Знак Знак Знак Знак Знак Знак Знак Знак Знак1"/>
    <w:basedOn w:val="a"/>
    <w:rsid w:val="00394DA6"/>
    <w:rPr>
      <w:rFonts w:ascii="Verdana" w:hAnsi="Verdana" w:cs="Verdana"/>
      <w:sz w:val="20"/>
      <w:szCs w:val="20"/>
      <w:lang w:val="en-US"/>
    </w:rPr>
  </w:style>
  <w:style w:type="paragraph" w:customStyle="1" w:styleId="111">
    <w:name w:val="Знак Знак Знак Знак Знак Знак1 Знак Знак Знак Знак Знак Знак Знак Знак Знак Знак Знак Знак Знак Знак Знак Знак Знак Знак Знак Знак1"/>
    <w:basedOn w:val="a"/>
    <w:rsid w:val="00394DA6"/>
    <w:rPr>
      <w:rFonts w:ascii="Verdana" w:hAnsi="Verdana" w:cs="Verdana"/>
      <w:sz w:val="20"/>
      <w:szCs w:val="20"/>
      <w:lang w:val="en-US"/>
    </w:rPr>
  </w:style>
  <w:style w:type="paragraph" w:customStyle="1" w:styleId="310">
    <w:name w:val="Основной текст 31"/>
    <w:basedOn w:val="a"/>
    <w:rsid w:val="00394DA6"/>
    <w:pPr>
      <w:suppressAutoHyphens/>
      <w:jc w:val="both"/>
    </w:pPr>
    <w:rPr>
      <w:rFonts w:cs="Calibri"/>
      <w:sz w:val="28"/>
    </w:rPr>
  </w:style>
  <w:style w:type="paragraph" w:customStyle="1" w:styleId="210">
    <w:name w:val="Основной текст с отступом 21"/>
    <w:basedOn w:val="a"/>
    <w:rsid w:val="00394DA6"/>
    <w:pPr>
      <w:suppressAutoHyphens/>
      <w:ind w:firstLine="720"/>
      <w:jc w:val="both"/>
    </w:pPr>
    <w:rPr>
      <w:rFonts w:cs="Calibri"/>
      <w:sz w:val="28"/>
    </w:rPr>
  </w:style>
  <w:style w:type="paragraph" w:customStyle="1" w:styleId="af8">
    <w:name w:val="Знак Знак Знак Знак Знак Знак Знак Знак Знак Знак Знак Знак"/>
    <w:basedOn w:val="a"/>
    <w:rsid w:val="00394DA6"/>
    <w:rPr>
      <w:rFonts w:ascii="Verdana" w:hAnsi="Verdana" w:cs="Verdana"/>
      <w:sz w:val="20"/>
      <w:szCs w:val="20"/>
      <w:lang w:val="en-US"/>
    </w:rPr>
  </w:style>
  <w:style w:type="paragraph" w:customStyle="1" w:styleId="20">
    <w:name w:val="сновной текст с отступом 2"/>
    <w:basedOn w:val="a"/>
    <w:rsid w:val="00394DA6"/>
    <w:pPr>
      <w:tabs>
        <w:tab w:val="left" w:pos="8364"/>
      </w:tabs>
      <w:ind w:firstLine="709"/>
      <w:jc w:val="both"/>
    </w:pPr>
    <w:rPr>
      <w:sz w:val="28"/>
      <w:szCs w:val="20"/>
    </w:rPr>
  </w:style>
  <w:style w:type="paragraph" w:customStyle="1" w:styleId="af9">
    <w:name w:val="Знак Знак Знак Знак Знак Знак Знак"/>
    <w:basedOn w:val="a"/>
    <w:rsid w:val="00394DA6"/>
    <w:rPr>
      <w:rFonts w:ascii="Verdana" w:hAnsi="Verdana" w:cs="Verdana"/>
      <w:sz w:val="20"/>
      <w:szCs w:val="20"/>
      <w:lang w:val="en-US"/>
    </w:rPr>
  </w:style>
  <w:style w:type="paragraph" w:customStyle="1" w:styleId="CharCharCharChar">
    <w:name w:val="Char Знак Знак Char Знак Знак Char Знак Знак Char Знак Знак Знак Знак Знак Знак"/>
    <w:basedOn w:val="a"/>
    <w:rsid w:val="00394DA6"/>
    <w:rPr>
      <w:rFonts w:ascii="Verdana" w:hAnsi="Verdana" w:cs="Verdana"/>
      <w:sz w:val="20"/>
      <w:szCs w:val="20"/>
      <w:lang w:val="en-US"/>
    </w:rPr>
  </w:style>
  <w:style w:type="paragraph" w:customStyle="1" w:styleId="afa">
    <w:name w:val="Вміст таблиці"/>
    <w:basedOn w:val="a"/>
    <w:rsid w:val="00394DA6"/>
    <w:pPr>
      <w:suppressLineNumbers/>
    </w:pPr>
  </w:style>
  <w:style w:type="paragraph" w:customStyle="1" w:styleId="afb">
    <w:name w:val="Заголовок таблиці"/>
    <w:basedOn w:val="afa"/>
    <w:rsid w:val="00394DA6"/>
    <w:pPr>
      <w:jc w:val="center"/>
    </w:pPr>
    <w:rPr>
      <w:b/>
      <w:bCs/>
    </w:rPr>
  </w:style>
  <w:style w:type="paragraph" w:styleId="afc">
    <w:name w:val="footer"/>
    <w:basedOn w:val="a"/>
    <w:rsid w:val="00F06908"/>
    <w:pPr>
      <w:tabs>
        <w:tab w:val="center" w:pos="4677"/>
        <w:tab w:val="right" w:pos="9355"/>
      </w:tabs>
    </w:pPr>
  </w:style>
  <w:style w:type="paragraph" w:styleId="23">
    <w:name w:val="Body Text Indent 2"/>
    <w:basedOn w:val="a"/>
    <w:link w:val="24"/>
    <w:rsid w:val="009E7BB1"/>
    <w:pPr>
      <w:spacing w:after="120" w:line="480" w:lineRule="auto"/>
      <w:ind w:left="283"/>
    </w:pPr>
  </w:style>
  <w:style w:type="paragraph" w:customStyle="1" w:styleId="afd">
    <w:name w:val="Знак Знак Знак Знак"/>
    <w:basedOn w:val="a"/>
    <w:rsid w:val="009E7BB1"/>
    <w:rPr>
      <w:rFonts w:ascii="Verdana" w:hAnsi="Verdana" w:cs="Verdana"/>
      <w:sz w:val="20"/>
      <w:szCs w:val="20"/>
      <w:lang w:val="en-US" w:eastAsia="en-US"/>
    </w:rPr>
  </w:style>
  <w:style w:type="paragraph" w:styleId="30">
    <w:name w:val="Body Text 3"/>
    <w:basedOn w:val="a"/>
    <w:rsid w:val="00B10F6A"/>
    <w:pPr>
      <w:spacing w:after="120"/>
    </w:pPr>
    <w:rPr>
      <w:sz w:val="16"/>
      <w:szCs w:val="16"/>
    </w:rPr>
  </w:style>
  <w:style w:type="paragraph" w:styleId="33">
    <w:name w:val="Body Text Indent 3"/>
    <w:basedOn w:val="a"/>
    <w:link w:val="34"/>
    <w:uiPriority w:val="99"/>
    <w:rsid w:val="00B10F6A"/>
    <w:pPr>
      <w:spacing w:after="120"/>
      <w:ind w:left="283"/>
    </w:pPr>
    <w:rPr>
      <w:sz w:val="16"/>
      <w:szCs w:val="16"/>
    </w:rPr>
  </w:style>
  <w:style w:type="paragraph" w:styleId="afe">
    <w:name w:val="Block Text"/>
    <w:basedOn w:val="a"/>
    <w:rsid w:val="00B10F6A"/>
    <w:pPr>
      <w:tabs>
        <w:tab w:val="left" w:pos="5529"/>
      </w:tabs>
      <w:ind w:left="567" w:right="4364"/>
      <w:jc w:val="both"/>
    </w:pPr>
    <w:rPr>
      <w:i/>
      <w:iCs/>
      <w:szCs w:val="20"/>
      <w:lang w:eastAsia="ru-RU"/>
    </w:rPr>
  </w:style>
  <w:style w:type="paragraph" w:customStyle="1" w:styleId="aff">
    <w:name w:val="отменить формат"/>
    <w:basedOn w:val="30"/>
    <w:rsid w:val="00644ADE"/>
    <w:pPr>
      <w:ind w:firstLine="522"/>
      <w:jc w:val="both"/>
    </w:pPr>
  </w:style>
  <w:style w:type="paragraph" w:customStyle="1" w:styleId="1a">
    <w:name w:val="1"/>
    <w:basedOn w:val="a"/>
    <w:rsid w:val="006A6B2F"/>
    <w:rPr>
      <w:rFonts w:ascii="Verdana" w:hAnsi="Verdana" w:cs="Verdana"/>
      <w:sz w:val="20"/>
      <w:szCs w:val="20"/>
      <w:lang w:val="en-US" w:eastAsia="en-US"/>
    </w:rPr>
  </w:style>
  <w:style w:type="paragraph" w:customStyle="1" w:styleId="BodyText2">
    <w:name w:val="Body Text 2.Подпись к рис."/>
    <w:rsid w:val="0035088F"/>
    <w:pPr>
      <w:autoSpaceDE w:val="0"/>
      <w:autoSpaceDN w:val="0"/>
      <w:ind w:left="1134"/>
    </w:pPr>
    <w:rPr>
      <w:sz w:val="28"/>
      <w:szCs w:val="28"/>
      <w:lang w:val="uk-UA" w:eastAsia="uk-UA"/>
    </w:rPr>
  </w:style>
  <w:style w:type="paragraph" w:styleId="25">
    <w:name w:val="Body Text 2"/>
    <w:basedOn w:val="a"/>
    <w:rsid w:val="00EE39BA"/>
    <w:pPr>
      <w:spacing w:after="120" w:line="480" w:lineRule="auto"/>
    </w:pPr>
  </w:style>
  <w:style w:type="paragraph" w:customStyle="1" w:styleId="230">
    <w:name w:val="Основной текст с отступом 23"/>
    <w:basedOn w:val="a"/>
    <w:rsid w:val="00C9615E"/>
    <w:pPr>
      <w:suppressAutoHyphens/>
      <w:spacing w:after="120" w:line="480" w:lineRule="auto"/>
      <w:ind w:left="283"/>
    </w:pPr>
  </w:style>
  <w:style w:type="paragraph" w:customStyle="1" w:styleId="330">
    <w:name w:val="Основной текст с отступом 33"/>
    <w:basedOn w:val="a"/>
    <w:rsid w:val="006052BD"/>
    <w:pPr>
      <w:suppressAutoHyphens/>
      <w:spacing w:after="120"/>
      <w:ind w:left="283"/>
    </w:pPr>
    <w:rPr>
      <w:sz w:val="16"/>
      <w:szCs w:val="16"/>
    </w:rPr>
  </w:style>
  <w:style w:type="paragraph" w:customStyle="1" w:styleId="340">
    <w:name w:val="Основной текст с отступом 34"/>
    <w:basedOn w:val="a"/>
    <w:rsid w:val="006052BD"/>
    <w:pPr>
      <w:suppressAutoHyphens/>
      <w:spacing w:after="120"/>
      <w:ind w:left="283"/>
    </w:pPr>
    <w:rPr>
      <w:sz w:val="16"/>
      <w:szCs w:val="16"/>
    </w:rPr>
  </w:style>
  <w:style w:type="character" w:customStyle="1" w:styleId="s11">
    <w:name w:val="s11"/>
    <w:rsid w:val="006052BD"/>
    <w:rPr>
      <w:rFonts w:ascii="Verdana" w:hAnsi="Verdana"/>
      <w:strike w:val="0"/>
      <w:dstrike w:val="0"/>
      <w:color w:val="303030"/>
      <w:sz w:val="16"/>
      <w:szCs w:val="16"/>
      <w:u w:val="none"/>
    </w:rPr>
  </w:style>
  <w:style w:type="character" w:customStyle="1" w:styleId="FontStyle36">
    <w:name w:val="Font Style36"/>
    <w:rsid w:val="006052BD"/>
    <w:rPr>
      <w:rFonts w:ascii="Times New Roman" w:hAnsi="Times New Roman" w:cs="Times New Roman"/>
      <w:i/>
      <w:iCs/>
      <w:sz w:val="24"/>
      <w:szCs w:val="24"/>
    </w:rPr>
  </w:style>
  <w:style w:type="paragraph" w:customStyle="1" w:styleId="textinform">
    <w:name w:val="textinform"/>
    <w:basedOn w:val="a"/>
    <w:rsid w:val="004052D3"/>
    <w:pPr>
      <w:spacing w:after="120"/>
      <w:ind w:left="300"/>
    </w:pPr>
    <w:rPr>
      <w:color w:val="000000"/>
      <w:lang w:val="ru-RU" w:eastAsia="ru-RU"/>
    </w:rPr>
  </w:style>
  <w:style w:type="paragraph" w:styleId="aff0">
    <w:name w:val="Plain Text"/>
    <w:basedOn w:val="a"/>
    <w:rsid w:val="004052D3"/>
    <w:rPr>
      <w:rFonts w:ascii="Courier New" w:hAnsi="Courier New" w:cs="Courier New"/>
      <w:sz w:val="20"/>
      <w:szCs w:val="20"/>
      <w:lang w:val="ru-RU" w:eastAsia="ru-RU"/>
    </w:rPr>
  </w:style>
  <w:style w:type="paragraph" w:customStyle="1" w:styleId="1b">
    <w:name w:val="Знак Знак1 Знак Знак Знак Знак Знак Знак Знак Знак Знак Знак Знак Знак Знак Знак"/>
    <w:basedOn w:val="a"/>
    <w:rsid w:val="004D77EE"/>
    <w:rPr>
      <w:rFonts w:ascii="Verdana" w:hAnsi="Verdana" w:cs="Verdana"/>
      <w:sz w:val="20"/>
      <w:szCs w:val="20"/>
      <w:lang w:val="en-US" w:eastAsia="en-US"/>
    </w:rPr>
  </w:style>
  <w:style w:type="paragraph" w:customStyle="1" w:styleId="aff1">
    <w:name w:val="Знак Знак Знак Знак Знак Знак Знак Знак Знак"/>
    <w:basedOn w:val="a"/>
    <w:rsid w:val="00A24D6C"/>
    <w:rPr>
      <w:rFonts w:ascii="Verdana" w:hAnsi="Verdana" w:cs="Verdana"/>
      <w:sz w:val="20"/>
      <w:szCs w:val="20"/>
      <w:lang w:val="en-US" w:eastAsia="en-US"/>
    </w:rPr>
  </w:style>
  <w:style w:type="paragraph" w:customStyle="1" w:styleId="aff2">
    <w:name w:val="Знак Знак Знак"/>
    <w:basedOn w:val="a"/>
    <w:rsid w:val="00D8010E"/>
    <w:rPr>
      <w:rFonts w:ascii="Verdana" w:hAnsi="Verdana" w:cs="Verdana"/>
      <w:sz w:val="20"/>
      <w:szCs w:val="20"/>
      <w:lang w:val="en-US" w:eastAsia="en-US"/>
    </w:rPr>
  </w:style>
  <w:style w:type="paragraph" w:customStyle="1" w:styleId="331">
    <w:name w:val="Основной текст 33"/>
    <w:basedOn w:val="a"/>
    <w:rsid w:val="00C26D16"/>
    <w:pPr>
      <w:spacing w:after="120"/>
    </w:pPr>
    <w:rPr>
      <w:sz w:val="16"/>
      <w:szCs w:val="16"/>
    </w:rPr>
  </w:style>
  <w:style w:type="character" w:customStyle="1" w:styleId="24">
    <w:name w:val="Основной текст с отступом 2 Знак"/>
    <w:link w:val="23"/>
    <w:rsid w:val="00C94860"/>
    <w:rPr>
      <w:sz w:val="24"/>
      <w:szCs w:val="24"/>
      <w:lang w:val="uk-UA" w:eastAsia="ar-SA"/>
    </w:rPr>
  </w:style>
  <w:style w:type="character" w:customStyle="1" w:styleId="af2">
    <w:name w:val="Верхний колонтитул Знак"/>
    <w:link w:val="af1"/>
    <w:rsid w:val="00C94860"/>
    <w:rPr>
      <w:sz w:val="24"/>
      <w:szCs w:val="24"/>
      <w:lang w:val="uk-UA" w:eastAsia="ar-SA"/>
    </w:rPr>
  </w:style>
  <w:style w:type="paragraph" w:styleId="aff3">
    <w:name w:val="caption"/>
    <w:basedOn w:val="a"/>
    <w:next w:val="a"/>
    <w:qFormat/>
    <w:rsid w:val="0014695B"/>
    <w:rPr>
      <w:b/>
      <w:szCs w:val="20"/>
      <w:lang w:eastAsia="ru-RU"/>
    </w:rPr>
  </w:style>
  <w:style w:type="paragraph" w:customStyle="1" w:styleId="1c">
    <w:name w:val="Знак Знак Знак1"/>
    <w:basedOn w:val="a"/>
    <w:rsid w:val="00E519EA"/>
    <w:rPr>
      <w:rFonts w:ascii="Verdana" w:hAnsi="Verdana" w:cs="Verdana"/>
      <w:sz w:val="20"/>
      <w:szCs w:val="20"/>
      <w:lang w:val="en-US" w:eastAsia="en-US"/>
    </w:rPr>
  </w:style>
  <w:style w:type="paragraph" w:customStyle="1" w:styleId="211">
    <w:name w:val="Основний текст з відступом 21"/>
    <w:basedOn w:val="a"/>
    <w:rsid w:val="00F32A69"/>
    <w:pPr>
      <w:ind w:firstLine="720"/>
      <w:jc w:val="both"/>
    </w:pPr>
    <w:rPr>
      <w:sz w:val="28"/>
      <w:szCs w:val="20"/>
      <w:lang w:eastAsia="ru-RU"/>
    </w:rPr>
  </w:style>
  <w:style w:type="paragraph" w:customStyle="1" w:styleId="341">
    <w:name w:val="Основной текст 34"/>
    <w:basedOn w:val="a"/>
    <w:rsid w:val="00C60730"/>
    <w:pPr>
      <w:spacing w:after="120"/>
    </w:pPr>
    <w:rPr>
      <w:sz w:val="16"/>
      <w:szCs w:val="16"/>
    </w:rPr>
  </w:style>
  <w:style w:type="paragraph" w:customStyle="1" w:styleId="26">
    <w:name w:val="Название объекта2"/>
    <w:basedOn w:val="a"/>
    <w:next w:val="a"/>
    <w:rsid w:val="00C60730"/>
    <w:rPr>
      <w:b/>
      <w:szCs w:val="20"/>
    </w:rPr>
  </w:style>
  <w:style w:type="paragraph" w:customStyle="1" w:styleId="aff4">
    <w:name w:val="Знак"/>
    <w:basedOn w:val="a"/>
    <w:rsid w:val="001E0BE6"/>
    <w:rPr>
      <w:rFonts w:ascii="Verdana" w:hAnsi="Verdana" w:cs="Verdana"/>
      <w:sz w:val="20"/>
      <w:szCs w:val="20"/>
      <w:lang w:val="en-US" w:eastAsia="en-US"/>
    </w:rPr>
  </w:style>
  <w:style w:type="paragraph" w:customStyle="1" w:styleId="1d">
    <w:name w:val="Знак1"/>
    <w:basedOn w:val="a"/>
    <w:rsid w:val="00760784"/>
    <w:rPr>
      <w:rFonts w:ascii="Verdana" w:hAnsi="Verdana" w:cs="Verdana"/>
      <w:sz w:val="20"/>
      <w:szCs w:val="20"/>
      <w:lang w:val="en-US" w:eastAsia="en-US"/>
    </w:rPr>
  </w:style>
  <w:style w:type="character" w:customStyle="1" w:styleId="34">
    <w:name w:val="Основной текст с отступом 3 Знак"/>
    <w:link w:val="33"/>
    <w:uiPriority w:val="99"/>
    <w:rsid w:val="00D92F0F"/>
    <w:rPr>
      <w:sz w:val="16"/>
      <w:szCs w:val="16"/>
      <w:lang w:val="uk-UA" w:eastAsia="ar-SA" w:bidi="ar-SA"/>
    </w:rPr>
  </w:style>
  <w:style w:type="paragraph" w:customStyle="1" w:styleId="112">
    <w:name w:val="Знак Знак Знак Знак Знак Знак Знак Знак Знак Знак Знак Знак1 Знак Знак Знак Знак Знак Знак1 Знак Знак Знак Знак Знак Знак"/>
    <w:basedOn w:val="a"/>
    <w:rsid w:val="000A04F4"/>
    <w:rPr>
      <w:rFonts w:ascii="Verdana" w:hAnsi="Verdana" w:cs="Verdana"/>
      <w:sz w:val="20"/>
      <w:szCs w:val="20"/>
      <w:lang w:val="en-US" w:eastAsia="en-US"/>
    </w:rPr>
  </w:style>
  <w:style w:type="character" w:customStyle="1" w:styleId="a8">
    <w:name w:val="Основной текст Знак"/>
    <w:link w:val="a7"/>
    <w:rsid w:val="004532B2"/>
    <w:rPr>
      <w:b/>
      <w:sz w:val="28"/>
      <w:szCs w:val="24"/>
      <w:lang w:eastAsia="ar-SA"/>
    </w:rPr>
  </w:style>
  <w:style w:type="character" w:customStyle="1" w:styleId="ac">
    <w:name w:val="Основной текст с отступом Знак"/>
    <w:link w:val="ab"/>
    <w:rsid w:val="004532B2"/>
    <w:rPr>
      <w:sz w:val="28"/>
      <w:szCs w:val="28"/>
      <w:lang w:eastAsia="ar-SA"/>
    </w:rPr>
  </w:style>
  <w:style w:type="paragraph" w:customStyle="1" w:styleId="1e">
    <w:name w:val="Знак Знак Знак Знак Знак Знак1 Знак Знак Знак Знак Знак Знак Знак Знак Знак Знак Знак Знак Знак Знак Знак Знак"/>
    <w:basedOn w:val="a"/>
    <w:rsid w:val="00027FE1"/>
    <w:rPr>
      <w:rFonts w:ascii="Verdana" w:hAnsi="Verdana" w:cs="Verdana"/>
      <w:sz w:val="20"/>
      <w:szCs w:val="20"/>
      <w:lang w:val="en-US"/>
    </w:rPr>
  </w:style>
  <w:style w:type="paragraph" w:customStyle="1" w:styleId="1f">
    <w:name w:val="Знак Знак Знак Знак Знак Знак Знак Знак Знак1"/>
    <w:basedOn w:val="a"/>
    <w:rsid w:val="000F0FF7"/>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w:basedOn w:val="a"/>
    <w:rsid w:val="00415362"/>
    <w:rPr>
      <w:rFonts w:ascii="Verdana" w:hAnsi="Verdana" w:cs="Verdana"/>
      <w:sz w:val="20"/>
      <w:szCs w:val="20"/>
      <w:lang w:val="en-US" w:eastAsia="en-US"/>
    </w:rPr>
  </w:style>
  <w:style w:type="paragraph" w:styleId="aff5">
    <w:name w:val="Document Map"/>
    <w:basedOn w:val="a"/>
    <w:semiHidden/>
    <w:rsid w:val="00BC1658"/>
    <w:pPr>
      <w:shd w:val="clear" w:color="auto" w:fill="000080"/>
    </w:pPr>
    <w:rPr>
      <w:rFonts w:ascii="Tahoma" w:hAnsi="Tahoma" w:cs="Tahoma"/>
      <w:sz w:val="20"/>
      <w:szCs w:val="20"/>
    </w:rPr>
  </w:style>
  <w:style w:type="character" w:customStyle="1" w:styleId="9">
    <w:name w:val="Знак Знак9"/>
    <w:locked/>
    <w:rsid w:val="002A4EC4"/>
    <w:rPr>
      <w:b/>
      <w:sz w:val="28"/>
      <w:szCs w:val="24"/>
      <w:lang w:val="uk-UA" w:eastAsia="ar-SA" w:bidi="ar-SA"/>
    </w:rPr>
  </w:style>
  <w:style w:type="character" w:customStyle="1" w:styleId="80">
    <w:name w:val="Знак Знак8"/>
    <w:locked/>
    <w:rsid w:val="002A4EC4"/>
    <w:rPr>
      <w:sz w:val="28"/>
      <w:szCs w:val="28"/>
      <w:lang w:val="uk-UA" w:eastAsia="ar-SA" w:bidi="ar-SA"/>
    </w:rPr>
  </w:style>
  <w:style w:type="paragraph" w:customStyle="1" w:styleId="40">
    <w:name w:val="Знак Знак4"/>
    <w:basedOn w:val="a"/>
    <w:rsid w:val="003C7F8E"/>
    <w:rPr>
      <w:rFonts w:ascii="Verdana"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3"/>
    <w:basedOn w:val="a"/>
    <w:rsid w:val="00A042C9"/>
    <w:rPr>
      <w:rFonts w:ascii="Verdana" w:hAnsi="Verdana" w:cs="Verdana"/>
      <w:sz w:val="20"/>
      <w:szCs w:val="20"/>
      <w:lang w:val="en-US" w:eastAsia="en-US"/>
    </w:rPr>
  </w:style>
  <w:style w:type="paragraph" w:customStyle="1" w:styleId="1f0">
    <w:name w:val="Знак Знак1 Знак Знак"/>
    <w:basedOn w:val="a"/>
    <w:rsid w:val="00566C6A"/>
    <w:rPr>
      <w:rFonts w:ascii="Verdana" w:hAnsi="Verdana" w:cs="Verdana"/>
      <w:sz w:val="20"/>
      <w:szCs w:val="20"/>
      <w:lang w:val="en-US" w:eastAsia="en-US"/>
    </w:rPr>
  </w:style>
  <w:style w:type="character" w:customStyle="1" w:styleId="6">
    <w:name w:val="Основной текст + Курсив6"/>
    <w:rsid w:val="00B45CF9"/>
    <w:rPr>
      <w:rFonts w:ascii="Times New Roman" w:hAnsi="Times New Roman" w:cs="Times New Roman"/>
      <w:i/>
      <w:spacing w:val="0"/>
      <w:sz w:val="27"/>
    </w:rPr>
  </w:style>
  <w:style w:type="paragraph" w:customStyle="1" w:styleId="100">
    <w:name w:val="Знак Знак10 Знак Знак Знак Знак Знак Знак"/>
    <w:basedOn w:val="a"/>
    <w:rsid w:val="00226AAC"/>
    <w:rPr>
      <w:rFonts w:ascii="Verdana" w:hAnsi="Verdana" w:cs="Verdana"/>
      <w:sz w:val="20"/>
      <w:szCs w:val="20"/>
      <w:lang w:val="en-US" w:eastAsia="en-US"/>
    </w:rPr>
  </w:style>
  <w:style w:type="paragraph" w:customStyle="1" w:styleId="1f1">
    <w:name w:val="Без интервала1"/>
    <w:uiPriority w:val="1"/>
    <w:qFormat/>
    <w:rsid w:val="00226AAC"/>
    <w:rPr>
      <w:rFonts w:ascii="Calibri" w:hAnsi="Calibri"/>
      <w:sz w:val="22"/>
      <w:szCs w:val="22"/>
      <w:lang w:val="uk-UA" w:eastAsia="en-US"/>
    </w:rPr>
  </w:style>
  <w:style w:type="paragraph" w:customStyle="1" w:styleId="212">
    <w:name w:val="Знак Знак21"/>
    <w:basedOn w:val="a"/>
    <w:rsid w:val="007A4CF2"/>
    <w:rPr>
      <w:rFonts w:ascii="Verdana" w:hAnsi="Verdana" w:cs="Verdana"/>
      <w:sz w:val="20"/>
      <w:szCs w:val="20"/>
      <w:lang w:val="en-US" w:eastAsia="en-US"/>
    </w:rPr>
  </w:style>
  <w:style w:type="character" w:styleId="aff6">
    <w:name w:val="Emphasis"/>
    <w:basedOn w:val="a0"/>
    <w:qFormat/>
    <w:rsid w:val="006C6AC1"/>
    <w:rPr>
      <w:rFonts w:cs="Times New Roman"/>
      <w:i/>
      <w:iCs/>
    </w:rPr>
  </w:style>
  <w:style w:type="paragraph" w:styleId="aff7">
    <w:name w:val="List Paragraph"/>
    <w:basedOn w:val="a"/>
    <w:uiPriority w:val="34"/>
    <w:qFormat/>
    <w:rsid w:val="00AD0060"/>
    <w:pPr>
      <w:ind w:left="720"/>
      <w:contextualSpacing/>
    </w:pPr>
  </w:style>
  <w:style w:type="paragraph" w:styleId="aff8">
    <w:name w:val="endnote text"/>
    <w:basedOn w:val="a"/>
    <w:link w:val="aff9"/>
    <w:semiHidden/>
    <w:unhideWhenUsed/>
    <w:rsid w:val="00E44867"/>
    <w:rPr>
      <w:sz w:val="20"/>
      <w:szCs w:val="20"/>
    </w:rPr>
  </w:style>
  <w:style w:type="character" w:customStyle="1" w:styleId="aff9">
    <w:name w:val="Текст концевой сноски Знак"/>
    <w:basedOn w:val="a0"/>
    <w:link w:val="aff8"/>
    <w:semiHidden/>
    <w:rsid w:val="00E44867"/>
    <w:rPr>
      <w:lang w:val="uk-UA" w:eastAsia="ar-SA"/>
    </w:rPr>
  </w:style>
  <w:style w:type="character" w:styleId="affa">
    <w:name w:val="endnote reference"/>
    <w:basedOn w:val="a0"/>
    <w:semiHidden/>
    <w:unhideWhenUsed/>
    <w:rsid w:val="00E448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12330">
      <w:bodyDiv w:val="1"/>
      <w:marLeft w:val="0"/>
      <w:marRight w:val="0"/>
      <w:marTop w:val="0"/>
      <w:marBottom w:val="0"/>
      <w:divBdr>
        <w:top w:val="none" w:sz="0" w:space="0" w:color="auto"/>
        <w:left w:val="none" w:sz="0" w:space="0" w:color="auto"/>
        <w:bottom w:val="none" w:sz="0" w:space="0" w:color="auto"/>
        <w:right w:val="none" w:sz="0" w:space="0" w:color="auto"/>
      </w:divBdr>
    </w:div>
    <w:div w:id="353000062">
      <w:bodyDiv w:val="1"/>
      <w:marLeft w:val="0"/>
      <w:marRight w:val="0"/>
      <w:marTop w:val="0"/>
      <w:marBottom w:val="0"/>
      <w:divBdr>
        <w:top w:val="none" w:sz="0" w:space="0" w:color="auto"/>
        <w:left w:val="none" w:sz="0" w:space="0" w:color="auto"/>
        <w:bottom w:val="none" w:sz="0" w:space="0" w:color="auto"/>
        <w:right w:val="none" w:sz="0" w:space="0" w:color="auto"/>
      </w:divBdr>
    </w:div>
    <w:div w:id="386301253">
      <w:bodyDiv w:val="1"/>
      <w:marLeft w:val="0"/>
      <w:marRight w:val="0"/>
      <w:marTop w:val="0"/>
      <w:marBottom w:val="0"/>
      <w:divBdr>
        <w:top w:val="none" w:sz="0" w:space="0" w:color="auto"/>
        <w:left w:val="none" w:sz="0" w:space="0" w:color="auto"/>
        <w:bottom w:val="none" w:sz="0" w:space="0" w:color="auto"/>
        <w:right w:val="none" w:sz="0" w:space="0" w:color="auto"/>
      </w:divBdr>
    </w:div>
    <w:div w:id="818621298">
      <w:bodyDiv w:val="1"/>
      <w:marLeft w:val="0"/>
      <w:marRight w:val="0"/>
      <w:marTop w:val="0"/>
      <w:marBottom w:val="0"/>
      <w:divBdr>
        <w:top w:val="none" w:sz="0" w:space="0" w:color="auto"/>
        <w:left w:val="none" w:sz="0" w:space="0" w:color="auto"/>
        <w:bottom w:val="none" w:sz="0" w:space="0" w:color="auto"/>
        <w:right w:val="none" w:sz="0" w:space="0" w:color="auto"/>
      </w:divBdr>
    </w:div>
    <w:div w:id="1016930458">
      <w:bodyDiv w:val="1"/>
      <w:marLeft w:val="0"/>
      <w:marRight w:val="0"/>
      <w:marTop w:val="0"/>
      <w:marBottom w:val="0"/>
      <w:divBdr>
        <w:top w:val="none" w:sz="0" w:space="0" w:color="auto"/>
        <w:left w:val="none" w:sz="0" w:space="0" w:color="auto"/>
        <w:bottom w:val="none" w:sz="0" w:space="0" w:color="auto"/>
        <w:right w:val="none" w:sz="0" w:space="0" w:color="auto"/>
      </w:divBdr>
    </w:div>
    <w:div w:id="1343047120">
      <w:bodyDiv w:val="1"/>
      <w:marLeft w:val="0"/>
      <w:marRight w:val="0"/>
      <w:marTop w:val="0"/>
      <w:marBottom w:val="0"/>
      <w:divBdr>
        <w:top w:val="none" w:sz="0" w:space="0" w:color="auto"/>
        <w:left w:val="none" w:sz="0" w:space="0" w:color="auto"/>
        <w:bottom w:val="none" w:sz="0" w:space="0" w:color="auto"/>
        <w:right w:val="none" w:sz="0" w:space="0" w:color="auto"/>
      </w:divBdr>
    </w:div>
    <w:div w:id="1450316067">
      <w:bodyDiv w:val="1"/>
      <w:marLeft w:val="0"/>
      <w:marRight w:val="0"/>
      <w:marTop w:val="0"/>
      <w:marBottom w:val="0"/>
      <w:divBdr>
        <w:top w:val="none" w:sz="0" w:space="0" w:color="auto"/>
        <w:left w:val="none" w:sz="0" w:space="0" w:color="auto"/>
        <w:bottom w:val="none" w:sz="0" w:space="0" w:color="auto"/>
        <w:right w:val="none" w:sz="0" w:space="0" w:color="auto"/>
      </w:divBdr>
    </w:div>
    <w:div w:id="1579752539">
      <w:bodyDiv w:val="1"/>
      <w:marLeft w:val="0"/>
      <w:marRight w:val="0"/>
      <w:marTop w:val="0"/>
      <w:marBottom w:val="0"/>
      <w:divBdr>
        <w:top w:val="none" w:sz="0" w:space="0" w:color="auto"/>
        <w:left w:val="none" w:sz="0" w:space="0" w:color="auto"/>
        <w:bottom w:val="none" w:sz="0" w:space="0" w:color="auto"/>
        <w:right w:val="none" w:sz="0" w:space="0" w:color="auto"/>
      </w:divBdr>
    </w:div>
    <w:div w:id="1709453393">
      <w:bodyDiv w:val="1"/>
      <w:marLeft w:val="0"/>
      <w:marRight w:val="0"/>
      <w:marTop w:val="0"/>
      <w:marBottom w:val="0"/>
      <w:divBdr>
        <w:top w:val="none" w:sz="0" w:space="0" w:color="auto"/>
        <w:left w:val="none" w:sz="0" w:space="0" w:color="auto"/>
        <w:bottom w:val="none" w:sz="0" w:space="0" w:color="auto"/>
        <w:right w:val="none" w:sz="0" w:space="0" w:color="auto"/>
      </w:divBdr>
    </w:div>
    <w:div w:id="209736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ninvest.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B0A46C-1CEB-445F-A026-B53046E37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42263</Words>
  <Characters>24090</Characters>
  <Application>Microsoft Office Word</Application>
  <DocSecurity>0</DocSecurity>
  <Lines>200</Lines>
  <Paragraphs>132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ПРОМИСЛОВЕ ВИРОБНИЦТВО</vt:lpstr>
      <vt:lpstr>ПРОМИСЛОВЕ ВИРОБНИЦТВО</vt:lpstr>
    </vt:vector>
  </TitlesOfParts>
  <Company>Головне управління економіки</Company>
  <LinksUpToDate>false</LinksUpToDate>
  <CharactersWithSpaces>66221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ПРОМИСЛОВЕ ВИРОБНИЦТВО</dc:title>
  <dc:subject/>
  <dc:creator>Гринев</dc:creator>
  <cp:keywords/>
  <dc:description/>
  <cp:lastModifiedBy>vitalik</cp:lastModifiedBy>
  <cp:revision>6</cp:revision>
  <cp:lastPrinted>2016-07-07T08:38:00Z</cp:lastPrinted>
  <dcterms:created xsi:type="dcterms:W3CDTF">2016-09-07T09:22:00Z</dcterms:created>
  <dcterms:modified xsi:type="dcterms:W3CDTF">2016-09-07T10:03:00Z</dcterms:modified>
</cp:coreProperties>
</file>