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5DD" w:rsidRDefault="00D065DD" w:rsidP="00D065DD">
      <w:pPr>
        <w:ind w:left="9912" w:firstLine="708"/>
        <w:jc w:val="center"/>
        <w:rPr>
          <w:rFonts w:ascii="Times New Roman" w:hAnsi="Times New Roman" w:cs="Times New Roman"/>
          <w:b/>
          <w:sz w:val="26"/>
          <w:szCs w:val="26"/>
        </w:rPr>
      </w:pPr>
    </w:p>
    <w:p w:rsidR="005D52A2" w:rsidRPr="00576A1A" w:rsidRDefault="00FB37D4" w:rsidP="00267A4C">
      <w:pPr>
        <w:jc w:val="center"/>
        <w:rPr>
          <w:rFonts w:ascii="Times New Roman" w:hAnsi="Times New Roman" w:cs="Times New Roman"/>
          <w:b/>
          <w:sz w:val="26"/>
          <w:szCs w:val="26"/>
        </w:rPr>
      </w:pPr>
      <w:r>
        <w:rPr>
          <w:rFonts w:ascii="Times New Roman" w:hAnsi="Times New Roman" w:cs="Times New Roman"/>
          <w:b/>
          <w:sz w:val="26"/>
          <w:szCs w:val="26"/>
        </w:rPr>
        <w:t>В</w:t>
      </w:r>
      <w:r w:rsidR="00D065DD" w:rsidRPr="00D065DD">
        <w:rPr>
          <w:rFonts w:ascii="Times New Roman" w:hAnsi="Times New Roman" w:cs="Times New Roman"/>
          <w:b/>
          <w:sz w:val="26"/>
          <w:szCs w:val="26"/>
        </w:rPr>
        <w:t xml:space="preserve">иконання плану заходів з </w:t>
      </w:r>
      <w:r w:rsidR="00267A4C" w:rsidRPr="00576A1A">
        <w:rPr>
          <w:rFonts w:ascii="Times New Roman" w:hAnsi="Times New Roman" w:cs="Times New Roman"/>
          <w:b/>
          <w:sz w:val="26"/>
          <w:szCs w:val="26"/>
        </w:rPr>
        <w:t xml:space="preserve">реалізації Концепції розвитку сільських територій Вінницької області </w:t>
      </w:r>
      <w:r w:rsidR="00D065DD">
        <w:rPr>
          <w:rFonts w:ascii="Times New Roman" w:hAnsi="Times New Roman" w:cs="Times New Roman"/>
          <w:b/>
          <w:sz w:val="26"/>
          <w:szCs w:val="26"/>
        </w:rPr>
        <w:t>у</w:t>
      </w:r>
      <w:r w:rsidR="007A73BF">
        <w:rPr>
          <w:rFonts w:ascii="Times New Roman" w:hAnsi="Times New Roman" w:cs="Times New Roman"/>
          <w:b/>
          <w:sz w:val="26"/>
          <w:szCs w:val="26"/>
        </w:rPr>
        <w:t xml:space="preserve"> </w:t>
      </w:r>
      <w:r w:rsidR="00267A4C" w:rsidRPr="00576A1A">
        <w:rPr>
          <w:rFonts w:ascii="Times New Roman" w:hAnsi="Times New Roman" w:cs="Times New Roman"/>
          <w:b/>
          <w:sz w:val="26"/>
          <w:szCs w:val="26"/>
        </w:rPr>
        <w:t>2020 р</w:t>
      </w:r>
      <w:r w:rsidR="00D065DD">
        <w:rPr>
          <w:rFonts w:ascii="Times New Roman" w:hAnsi="Times New Roman" w:cs="Times New Roman"/>
          <w:b/>
          <w:sz w:val="26"/>
          <w:szCs w:val="26"/>
        </w:rPr>
        <w:t>оці</w:t>
      </w:r>
    </w:p>
    <w:p w:rsidR="00267A4C" w:rsidRPr="00576A1A" w:rsidRDefault="00267A4C" w:rsidP="005D52A2">
      <w:pPr>
        <w:ind w:left="4111"/>
        <w:rPr>
          <w:rFonts w:ascii="Times New Roman" w:hAnsi="Times New Roman" w:cs="Times New Roman"/>
          <w:sz w:val="26"/>
          <w:szCs w:val="26"/>
        </w:rPr>
      </w:pPr>
    </w:p>
    <w:tbl>
      <w:tblPr>
        <w:tblStyle w:val="a3"/>
        <w:tblW w:w="15735" w:type="dxa"/>
        <w:tblInd w:w="108" w:type="dxa"/>
        <w:tblLayout w:type="fixed"/>
        <w:tblLook w:val="04A0"/>
      </w:tblPr>
      <w:tblGrid>
        <w:gridCol w:w="709"/>
        <w:gridCol w:w="2552"/>
        <w:gridCol w:w="3260"/>
        <w:gridCol w:w="9214"/>
      </w:tblGrid>
      <w:tr w:rsidR="004E6750" w:rsidRPr="0072723E" w:rsidTr="00FA54EC">
        <w:tc>
          <w:tcPr>
            <w:tcW w:w="709" w:type="dxa"/>
          </w:tcPr>
          <w:p w:rsidR="004E6750" w:rsidRPr="00FA54EC" w:rsidRDefault="004E6750" w:rsidP="00AD1D6D">
            <w:pPr>
              <w:tabs>
                <w:tab w:val="left" w:pos="0"/>
              </w:tabs>
              <w:jc w:val="center"/>
              <w:rPr>
                <w:rFonts w:ascii="Times New Roman" w:hAnsi="Times New Roman" w:cs="Times New Roman"/>
                <w:sz w:val="24"/>
                <w:szCs w:val="24"/>
              </w:rPr>
            </w:pPr>
            <w:r w:rsidRPr="00FA54EC">
              <w:rPr>
                <w:rFonts w:ascii="Times New Roman" w:hAnsi="Times New Roman" w:cs="Times New Roman"/>
                <w:sz w:val="24"/>
                <w:szCs w:val="24"/>
              </w:rPr>
              <w:t>№ з/п</w:t>
            </w:r>
          </w:p>
        </w:tc>
        <w:tc>
          <w:tcPr>
            <w:tcW w:w="2552" w:type="dxa"/>
          </w:tcPr>
          <w:p w:rsidR="004E6750" w:rsidRPr="00FA54EC" w:rsidRDefault="004E6750" w:rsidP="00AD1D6D">
            <w:pPr>
              <w:tabs>
                <w:tab w:val="left" w:pos="0"/>
              </w:tabs>
              <w:jc w:val="center"/>
              <w:rPr>
                <w:rFonts w:ascii="Times New Roman" w:hAnsi="Times New Roman" w:cs="Times New Roman"/>
                <w:sz w:val="24"/>
                <w:szCs w:val="24"/>
              </w:rPr>
            </w:pPr>
            <w:r w:rsidRPr="00FA54EC">
              <w:rPr>
                <w:rFonts w:ascii="Times New Roman" w:hAnsi="Times New Roman" w:cs="Times New Roman"/>
                <w:sz w:val="24"/>
                <w:szCs w:val="24"/>
              </w:rPr>
              <w:t>Назва розділу плану заходів з реалізації Концепції розвитку сільських територій</w:t>
            </w:r>
          </w:p>
        </w:tc>
        <w:tc>
          <w:tcPr>
            <w:tcW w:w="3260" w:type="dxa"/>
          </w:tcPr>
          <w:p w:rsidR="004E6750" w:rsidRPr="00FA54EC" w:rsidRDefault="004E6750" w:rsidP="00AD1D6D">
            <w:pPr>
              <w:tabs>
                <w:tab w:val="left" w:pos="0"/>
              </w:tabs>
              <w:jc w:val="center"/>
              <w:rPr>
                <w:rFonts w:ascii="Times New Roman" w:hAnsi="Times New Roman" w:cs="Times New Roman"/>
                <w:sz w:val="24"/>
                <w:szCs w:val="24"/>
              </w:rPr>
            </w:pPr>
            <w:r w:rsidRPr="00FA54EC">
              <w:rPr>
                <w:rFonts w:ascii="Times New Roman" w:hAnsi="Times New Roman" w:cs="Times New Roman"/>
                <w:sz w:val="24"/>
                <w:szCs w:val="24"/>
              </w:rPr>
              <w:t>Зміст заходу</w:t>
            </w:r>
          </w:p>
        </w:tc>
        <w:tc>
          <w:tcPr>
            <w:tcW w:w="9214" w:type="dxa"/>
          </w:tcPr>
          <w:p w:rsidR="004E6750" w:rsidRPr="00FA54EC" w:rsidRDefault="004E6750" w:rsidP="0057566C">
            <w:pPr>
              <w:tabs>
                <w:tab w:val="left" w:pos="0"/>
              </w:tabs>
              <w:ind w:firstLine="317"/>
              <w:jc w:val="center"/>
              <w:rPr>
                <w:rFonts w:ascii="Times New Roman" w:hAnsi="Times New Roman" w:cs="Times New Roman"/>
                <w:sz w:val="24"/>
                <w:szCs w:val="24"/>
              </w:rPr>
            </w:pPr>
            <w:r w:rsidRPr="00FA54EC">
              <w:rPr>
                <w:rFonts w:ascii="Times New Roman" w:hAnsi="Times New Roman" w:cs="Times New Roman"/>
                <w:sz w:val="24"/>
                <w:szCs w:val="24"/>
              </w:rPr>
              <w:t>Індикатор виконання</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1.</w:t>
            </w:r>
          </w:p>
        </w:tc>
        <w:tc>
          <w:tcPr>
            <w:tcW w:w="2552" w:type="dxa"/>
            <w:vMerge w:val="restart"/>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r w:rsidRPr="0072723E">
              <w:rPr>
                <w:rFonts w:ascii="Times New Roman" w:hAnsi="Times New Roman" w:cs="Times New Roman"/>
                <w:color w:val="000000"/>
                <w:sz w:val="24"/>
                <w:szCs w:val="24"/>
                <w:shd w:val="clear" w:color="auto" w:fill="FFFFFF"/>
              </w:rPr>
              <w:t>Підвищення якості життя сільського населення</w:t>
            </w:r>
          </w:p>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color w:val="000000"/>
                <w:sz w:val="24"/>
                <w:szCs w:val="24"/>
                <w:shd w:val="clear" w:color="auto" w:fill="FFFFFF"/>
              </w:rPr>
              <w:t>Надання державної підтримки для індивідуального житлового будівництва на селі та вдосконалення її механізмів</w:t>
            </w:r>
          </w:p>
        </w:tc>
        <w:tc>
          <w:tcPr>
            <w:tcW w:w="9214" w:type="dxa"/>
          </w:tcPr>
          <w:p w:rsidR="004E6750" w:rsidRPr="004E6750" w:rsidRDefault="004E6750" w:rsidP="0057566C">
            <w:pPr>
              <w:ind w:firstLine="317"/>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sz w:val="24"/>
                <w:szCs w:val="24"/>
                <w:lang w:eastAsia="ru-RU"/>
              </w:rPr>
              <w:t>По обласній програмі «Власний дім» в</w:t>
            </w:r>
            <w:r w:rsidRPr="004E6750">
              <w:rPr>
                <w:rFonts w:ascii="Times New Roman" w:eastAsia="Times New Roman" w:hAnsi="Times New Roman" w:cs="Times New Roman"/>
                <w:sz w:val="24"/>
                <w:szCs w:val="24"/>
                <w:lang w:eastAsia="ru-RU"/>
              </w:rPr>
              <w:t xml:space="preserve"> 2020 році </w:t>
            </w:r>
            <w:r w:rsidRPr="004E6750">
              <w:rPr>
                <w:rFonts w:ascii="Times New Roman" w:eastAsia="Times New Roman" w:hAnsi="Times New Roman" w:cs="Times New Roman"/>
                <w:bCs/>
                <w:sz w:val="24"/>
                <w:szCs w:val="24"/>
                <w:lang w:eastAsia="ru-RU"/>
              </w:rPr>
              <w:t xml:space="preserve">укладено </w:t>
            </w:r>
            <w:r w:rsidRPr="004E6750">
              <w:rPr>
                <w:rFonts w:ascii="Times New Roman" w:eastAsia="Times New Roman" w:hAnsi="Times New Roman" w:cs="Times New Roman"/>
                <w:bCs/>
                <w:iCs/>
                <w:sz w:val="24"/>
                <w:szCs w:val="24"/>
                <w:lang w:eastAsia="ru-RU"/>
              </w:rPr>
              <w:t>48</w:t>
            </w:r>
            <w:r w:rsidRPr="004E6750">
              <w:rPr>
                <w:rFonts w:ascii="Times New Roman" w:eastAsia="Times New Roman" w:hAnsi="Times New Roman" w:cs="Times New Roman"/>
                <w:bCs/>
                <w:sz w:val="24"/>
                <w:szCs w:val="24"/>
                <w:lang w:eastAsia="ru-RU"/>
              </w:rPr>
              <w:t xml:space="preserve"> договор</w:t>
            </w:r>
            <w:r w:rsidR="0057566C">
              <w:rPr>
                <w:rFonts w:ascii="Times New Roman" w:eastAsia="Times New Roman" w:hAnsi="Times New Roman" w:cs="Times New Roman"/>
                <w:bCs/>
                <w:sz w:val="24"/>
                <w:szCs w:val="24"/>
                <w:lang w:eastAsia="ru-RU"/>
              </w:rPr>
              <w:t>ів</w:t>
            </w:r>
            <w:r w:rsidRPr="004E6750">
              <w:rPr>
                <w:rFonts w:ascii="Times New Roman" w:eastAsia="Times New Roman" w:hAnsi="Times New Roman" w:cs="Times New Roman"/>
                <w:bCs/>
                <w:sz w:val="24"/>
                <w:szCs w:val="24"/>
                <w:lang w:eastAsia="ru-RU"/>
              </w:rPr>
              <w:t xml:space="preserve"> на будівництво, добудову та придбання індивідуальних житлових будинків з надвірними підсобними приміщеннями</w:t>
            </w:r>
            <w:r w:rsidR="00242551" w:rsidRPr="0072723E">
              <w:rPr>
                <w:rFonts w:ascii="Times New Roman" w:eastAsia="Times New Roman" w:hAnsi="Times New Roman" w:cs="Times New Roman"/>
                <w:bCs/>
                <w:sz w:val="24"/>
                <w:szCs w:val="24"/>
                <w:lang w:eastAsia="ru-RU"/>
              </w:rPr>
              <w:t xml:space="preserve">. </w:t>
            </w:r>
            <w:r w:rsidR="00242551" w:rsidRPr="0072723E">
              <w:rPr>
                <w:rFonts w:ascii="Times New Roman" w:hAnsi="Times New Roman" w:cs="Times New Roman"/>
                <w:bCs/>
                <w:sz w:val="24"/>
                <w:szCs w:val="24"/>
              </w:rPr>
              <w:t xml:space="preserve">На ці цілі використано </w:t>
            </w:r>
            <w:r w:rsidR="00242551" w:rsidRPr="0072723E">
              <w:rPr>
                <w:rFonts w:ascii="Times New Roman" w:hAnsi="Times New Roman" w:cs="Times New Roman"/>
                <w:bCs/>
                <w:iCs/>
                <w:sz w:val="24"/>
                <w:szCs w:val="24"/>
              </w:rPr>
              <w:t>8,7 млн грн</w:t>
            </w:r>
            <w:r w:rsidR="00242551" w:rsidRPr="0072723E">
              <w:rPr>
                <w:rFonts w:ascii="Times New Roman" w:hAnsi="Times New Roman" w:cs="Times New Roman"/>
                <w:bCs/>
                <w:sz w:val="24"/>
                <w:szCs w:val="24"/>
              </w:rPr>
              <w:t xml:space="preserve"> з бюджетів різних рівнів.</w:t>
            </w:r>
            <w:r w:rsidR="0057566C">
              <w:rPr>
                <w:rFonts w:ascii="Times New Roman" w:hAnsi="Times New Roman" w:cs="Times New Roman"/>
                <w:bCs/>
                <w:sz w:val="24"/>
                <w:szCs w:val="24"/>
              </w:rPr>
              <w:t xml:space="preserve"> </w:t>
            </w:r>
            <w:r w:rsidR="00242551" w:rsidRPr="0072723E">
              <w:rPr>
                <w:rFonts w:ascii="Times New Roman" w:eastAsia="Times New Roman" w:hAnsi="Times New Roman" w:cs="Times New Roman"/>
                <w:sz w:val="24"/>
                <w:szCs w:val="24"/>
                <w:lang w:eastAsia="ru-RU"/>
              </w:rPr>
              <w:t>В</w:t>
            </w:r>
            <w:r w:rsidRPr="004E6750">
              <w:rPr>
                <w:rFonts w:ascii="Times New Roman" w:eastAsia="Times New Roman" w:hAnsi="Times New Roman" w:cs="Times New Roman"/>
                <w:sz w:val="24"/>
                <w:szCs w:val="24"/>
                <w:lang w:eastAsia="ru-RU"/>
              </w:rPr>
              <w:t>ведено в експлуатацію 46 будинк</w:t>
            </w:r>
            <w:r w:rsidR="0057566C">
              <w:rPr>
                <w:rFonts w:ascii="Times New Roman" w:eastAsia="Times New Roman" w:hAnsi="Times New Roman" w:cs="Times New Roman"/>
                <w:sz w:val="24"/>
                <w:szCs w:val="24"/>
                <w:lang w:eastAsia="ru-RU"/>
              </w:rPr>
              <w:t>ів</w:t>
            </w:r>
            <w:r w:rsidRPr="004E6750">
              <w:rPr>
                <w:rFonts w:ascii="Times New Roman" w:eastAsia="Times New Roman" w:hAnsi="Times New Roman" w:cs="Times New Roman"/>
                <w:sz w:val="24"/>
                <w:szCs w:val="24"/>
                <w:lang w:eastAsia="ru-RU"/>
              </w:rPr>
              <w:t xml:space="preserve"> та квартир загальною площею 3404 м</w:t>
            </w:r>
            <w:r w:rsidRPr="004E6750">
              <w:rPr>
                <w:rFonts w:ascii="Times New Roman" w:eastAsia="Times New Roman" w:hAnsi="Times New Roman" w:cs="Times New Roman"/>
                <w:sz w:val="24"/>
                <w:szCs w:val="24"/>
                <w:vertAlign w:val="superscript"/>
                <w:lang w:eastAsia="ru-RU"/>
              </w:rPr>
              <w:t>2</w:t>
            </w:r>
            <w:r w:rsidRPr="004E6750">
              <w:rPr>
                <w:rFonts w:ascii="Times New Roman" w:eastAsia="Times New Roman" w:hAnsi="Times New Roman" w:cs="Times New Roman"/>
                <w:sz w:val="24"/>
                <w:szCs w:val="24"/>
                <w:lang w:eastAsia="ru-RU"/>
              </w:rPr>
              <w:t>.</w:t>
            </w:r>
          </w:p>
          <w:p w:rsidR="004E6750" w:rsidRPr="0072723E" w:rsidRDefault="00447C2B" w:rsidP="00E177A1">
            <w:pPr>
              <w:ind w:firstLine="317"/>
              <w:jc w:val="both"/>
              <w:rPr>
                <w:rFonts w:ascii="Times New Roman" w:hAnsi="Times New Roman" w:cs="Times New Roman"/>
                <w:sz w:val="24"/>
                <w:szCs w:val="24"/>
              </w:rPr>
            </w:pPr>
            <w:r w:rsidRPr="0072723E">
              <w:rPr>
                <w:rFonts w:ascii="Times New Roman" w:eastAsia="Times New Roman" w:hAnsi="Times New Roman" w:cs="Times New Roman"/>
                <w:sz w:val="24"/>
                <w:szCs w:val="24"/>
                <w:lang w:eastAsia="ru-RU"/>
              </w:rPr>
              <w:t xml:space="preserve"> По </w:t>
            </w:r>
            <w:r w:rsidR="004E6750" w:rsidRPr="004E6750">
              <w:rPr>
                <w:rFonts w:ascii="Times New Roman" w:eastAsia="Times New Roman" w:hAnsi="Times New Roman" w:cs="Times New Roman"/>
                <w:sz w:val="24"/>
                <w:szCs w:val="24"/>
                <w:lang w:eastAsia="ru-RU"/>
              </w:rPr>
              <w:t>Регіональн</w:t>
            </w:r>
            <w:r w:rsidRPr="0072723E">
              <w:rPr>
                <w:rFonts w:ascii="Times New Roman" w:eastAsia="Times New Roman" w:hAnsi="Times New Roman" w:cs="Times New Roman"/>
                <w:sz w:val="24"/>
                <w:szCs w:val="24"/>
                <w:lang w:eastAsia="ru-RU"/>
              </w:rPr>
              <w:t>ій</w:t>
            </w:r>
            <w:r w:rsidR="004E6750" w:rsidRPr="004E6750">
              <w:rPr>
                <w:rFonts w:ascii="Times New Roman" w:eastAsia="Times New Roman" w:hAnsi="Times New Roman" w:cs="Times New Roman"/>
                <w:sz w:val="24"/>
                <w:szCs w:val="24"/>
                <w:lang w:eastAsia="ru-RU"/>
              </w:rPr>
              <w:t xml:space="preserve"> цільов</w:t>
            </w:r>
            <w:r w:rsidRPr="0072723E">
              <w:rPr>
                <w:rFonts w:ascii="Times New Roman" w:eastAsia="Times New Roman" w:hAnsi="Times New Roman" w:cs="Times New Roman"/>
                <w:sz w:val="24"/>
                <w:szCs w:val="24"/>
                <w:lang w:eastAsia="ru-RU"/>
              </w:rPr>
              <w:t>ій</w:t>
            </w:r>
            <w:r w:rsidR="004E6750" w:rsidRPr="004E6750">
              <w:rPr>
                <w:rFonts w:ascii="Times New Roman" w:eastAsia="Times New Roman" w:hAnsi="Times New Roman" w:cs="Times New Roman"/>
                <w:sz w:val="24"/>
                <w:szCs w:val="24"/>
                <w:lang w:eastAsia="ru-RU"/>
              </w:rPr>
              <w:t xml:space="preserve"> програм</w:t>
            </w:r>
            <w:r w:rsidRPr="0072723E">
              <w:rPr>
                <w:rFonts w:ascii="Times New Roman" w:eastAsia="Times New Roman" w:hAnsi="Times New Roman" w:cs="Times New Roman"/>
                <w:sz w:val="24"/>
                <w:szCs w:val="24"/>
                <w:lang w:eastAsia="ru-RU"/>
              </w:rPr>
              <w:t>і</w:t>
            </w:r>
            <w:r w:rsidR="004E6750" w:rsidRPr="004E6750">
              <w:rPr>
                <w:rFonts w:ascii="Times New Roman" w:eastAsia="Times New Roman" w:hAnsi="Times New Roman" w:cs="Times New Roman"/>
                <w:sz w:val="24"/>
                <w:szCs w:val="24"/>
                <w:lang w:eastAsia="ru-RU"/>
              </w:rPr>
              <w:t xml:space="preserve"> будівництва (придбання) доступного житла у Вінницькій області на 2010–2017 роки, продовженої на 2018–2020 роки, у 2020 році </w:t>
            </w:r>
            <w:r w:rsidR="0057566C">
              <w:rPr>
                <w:rFonts w:ascii="Times New Roman" w:eastAsia="Times New Roman" w:hAnsi="Times New Roman" w:cs="Times New Roman"/>
                <w:sz w:val="24"/>
                <w:szCs w:val="24"/>
                <w:lang w:eastAsia="ru-RU"/>
              </w:rPr>
              <w:t>надано</w:t>
            </w:r>
            <w:r w:rsidR="004E6750" w:rsidRPr="004E6750">
              <w:rPr>
                <w:rFonts w:ascii="Times New Roman" w:eastAsia="Times New Roman" w:hAnsi="Times New Roman" w:cs="Times New Roman"/>
                <w:sz w:val="24"/>
                <w:szCs w:val="24"/>
                <w:lang w:eastAsia="ru-RU"/>
              </w:rPr>
              <w:t xml:space="preserve"> кредити 10 сім’ям</w:t>
            </w:r>
            <w:r w:rsidR="0057566C">
              <w:rPr>
                <w:rFonts w:ascii="Times New Roman" w:eastAsia="Times New Roman" w:hAnsi="Times New Roman" w:cs="Times New Roman"/>
                <w:sz w:val="24"/>
                <w:szCs w:val="24"/>
                <w:lang w:eastAsia="ru-RU"/>
              </w:rPr>
              <w:t xml:space="preserve"> -</w:t>
            </w:r>
            <w:r w:rsidR="004E6750" w:rsidRPr="004E6750">
              <w:rPr>
                <w:rFonts w:ascii="Times New Roman" w:eastAsia="Times New Roman" w:hAnsi="Times New Roman" w:cs="Times New Roman"/>
                <w:sz w:val="24"/>
                <w:szCs w:val="24"/>
                <w:lang w:eastAsia="ru-RU"/>
              </w:rPr>
              <w:t xml:space="preserve"> </w:t>
            </w:r>
            <w:r w:rsidR="0057566C" w:rsidRPr="004E6750">
              <w:rPr>
                <w:rFonts w:ascii="Times New Roman" w:eastAsia="Times New Roman" w:hAnsi="Times New Roman" w:cs="Times New Roman"/>
                <w:sz w:val="24"/>
                <w:szCs w:val="24"/>
                <w:lang w:eastAsia="ru-RU"/>
              </w:rPr>
              <w:t xml:space="preserve">жителям сільської </w:t>
            </w:r>
            <w:r w:rsidR="0057566C">
              <w:rPr>
                <w:rFonts w:ascii="Times New Roman" w:eastAsia="Times New Roman" w:hAnsi="Times New Roman" w:cs="Times New Roman"/>
                <w:sz w:val="24"/>
                <w:szCs w:val="24"/>
                <w:lang w:eastAsia="ru-RU"/>
              </w:rPr>
              <w:t xml:space="preserve">місцевості </w:t>
            </w:r>
            <w:r w:rsidR="004E6750" w:rsidRPr="004E6750">
              <w:rPr>
                <w:rFonts w:ascii="Times New Roman" w:eastAsia="Times New Roman" w:hAnsi="Times New Roman" w:cs="Times New Roman"/>
                <w:sz w:val="24"/>
                <w:szCs w:val="24"/>
                <w:lang w:eastAsia="ru-RU"/>
              </w:rPr>
              <w:t xml:space="preserve">на будівництво житла на </w:t>
            </w:r>
            <w:r w:rsidR="0057566C">
              <w:rPr>
                <w:rFonts w:ascii="Times New Roman" w:eastAsia="Times New Roman" w:hAnsi="Times New Roman" w:cs="Times New Roman"/>
                <w:sz w:val="24"/>
                <w:szCs w:val="24"/>
                <w:lang w:eastAsia="ru-RU"/>
              </w:rPr>
              <w:t xml:space="preserve">суму </w:t>
            </w:r>
            <w:r w:rsidR="004E6750" w:rsidRPr="004E6750">
              <w:rPr>
                <w:rFonts w:ascii="Times New Roman" w:eastAsia="Times New Roman" w:hAnsi="Times New Roman" w:cs="Times New Roman"/>
                <w:sz w:val="24"/>
                <w:szCs w:val="24"/>
                <w:lang w:eastAsia="ru-RU"/>
              </w:rPr>
              <w:t>2</w:t>
            </w:r>
            <w:r w:rsidR="0057566C">
              <w:rPr>
                <w:rFonts w:ascii="Times New Roman" w:eastAsia="Times New Roman" w:hAnsi="Times New Roman" w:cs="Times New Roman"/>
                <w:sz w:val="24"/>
                <w:szCs w:val="24"/>
                <w:lang w:eastAsia="ru-RU"/>
              </w:rPr>
              <w:t>,0</w:t>
            </w:r>
            <w:r w:rsidR="004E6750" w:rsidRPr="004E6750">
              <w:rPr>
                <w:rFonts w:ascii="Times New Roman" w:eastAsia="Times New Roman" w:hAnsi="Times New Roman" w:cs="Times New Roman"/>
                <w:sz w:val="24"/>
                <w:szCs w:val="24"/>
                <w:lang w:eastAsia="ru-RU"/>
              </w:rPr>
              <w:t xml:space="preserve"> </w:t>
            </w:r>
            <w:proofErr w:type="spellStart"/>
            <w:r w:rsidR="004E6750" w:rsidRPr="004E6750">
              <w:rPr>
                <w:rFonts w:ascii="Times New Roman" w:eastAsia="Times New Roman" w:hAnsi="Times New Roman" w:cs="Times New Roman"/>
                <w:sz w:val="24"/>
                <w:szCs w:val="24"/>
                <w:lang w:eastAsia="ru-RU"/>
              </w:rPr>
              <w:t>млн</w:t>
            </w:r>
            <w:proofErr w:type="spellEnd"/>
            <w:r w:rsidR="004E6750" w:rsidRPr="004E6750">
              <w:rPr>
                <w:rFonts w:ascii="Times New Roman" w:eastAsia="Times New Roman" w:hAnsi="Times New Roman" w:cs="Times New Roman"/>
                <w:sz w:val="24"/>
                <w:szCs w:val="24"/>
                <w:lang w:eastAsia="ru-RU"/>
              </w:rPr>
              <w:t xml:space="preserve"> </w:t>
            </w:r>
            <w:proofErr w:type="spellStart"/>
            <w:r w:rsidR="004E6750" w:rsidRPr="004E6750">
              <w:rPr>
                <w:rFonts w:ascii="Times New Roman" w:eastAsia="Times New Roman" w:hAnsi="Times New Roman" w:cs="Times New Roman"/>
                <w:sz w:val="24"/>
                <w:szCs w:val="24"/>
                <w:lang w:eastAsia="ru-RU"/>
              </w:rPr>
              <w:t>грн</w:t>
            </w:r>
            <w:proofErr w:type="spellEnd"/>
            <w:r w:rsidR="004E6750" w:rsidRPr="004E6750">
              <w:rPr>
                <w:rFonts w:ascii="Times New Roman" w:eastAsia="Times New Roman" w:hAnsi="Times New Roman" w:cs="Times New Roman"/>
                <w:sz w:val="24"/>
                <w:szCs w:val="24"/>
                <w:lang w:eastAsia="ru-RU"/>
              </w:rPr>
              <w:t>, введено в експлуатацію 10 будинків загальною площею 700 м</w:t>
            </w:r>
            <w:r w:rsidR="004E6750" w:rsidRPr="004E6750">
              <w:rPr>
                <w:rFonts w:ascii="Times New Roman" w:eastAsia="Times New Roman" w:hAnsi="Times New Roman" w:cs="Times New Roman"/>
                <w:sz w:val="24"/>
                <w:szCs w:val="24"/>
                <w:vertAlign w:val="superscript"/>
                <w:lang w:eastAsia="ru-RU"/>
              </w:rPr>
              <w:t>2</w:t>
            </w:r>
            <w:r w:rsidR="004E6750" w:rsidRPr="004E6750">
              <w:rPr>
                <w:rFonts w:ascii="Times New Roman" w:eastAsia="Times New Roman" w:hAnsi="Times New Roman" w:cs="Times New Roman"/>
                <w:sz w:val="24"/>
                <w:szCs w:val="24"/>
                <w:lang w:eastAsia="ru-RU"/>
              </w:rPr>
              <w:t>.</w:t>
            </w:r>
            <w:r w:rsidR="0057566C">
              <w:rPr>
                <w:rFonts w:ascii="Times New Roman" w:eastAsia="Times New Roman" w:hAnsi="Times New Roman" w:cs="Times New Roman"/>
                <w:sz w:val="24"/>
                <w:szCs w:val="24"/>
                <w:lang w:eastAsia="ru-RU"/>
              </w:rPr>
              <w:t xml:space="preserve"> </w:t>
            </w:r>
            <w:r w:rsidR="005812FC" w:rsidRPr="0072723E">
              <w:rPr>
                <w:rFonts w:ascii="Times New Roman" w:eastAsia="Times New Roman" w:hAnsi="Times New Roman" w:cs="Times New Roman"/>
                <w:sz w:val="24"/>
                <w:szCs w:val="24"/>
                <w:lang w:eastAsia="ru-RU"/>
              </w:rPr>
              <w:t xml:space="preserve">Крім того, профінансовано з районних бюджетів в розмірі 1,3 </w:t>
            </w:r>
            <w:proofErr w:type="spellStart"/>
            <w:r w:rsidR="005812FC" w:rsidRPr="0072723E">
              <w:rPr>
                <w:rFonts w:ascii="Times New Roman" w:eastAsia="Times New Roman" w:hAnsi="Times New Roman" w:cs="Times New Roman"/>
                <w:sz w:val="24"/>
                <w:szCs w:val="24"/>
                <w:lang w:eastAsia="ru-RU"/>
              </w:rPr>
              <w:t>млн</w:t>
            </w:r>
            <w:proofErr w:type="spellEnd"/>
            <w:r w:rsidR="005812FC" w:rsidRPr="0072723E">
              <w:rPr>
                <w:rFonts w:ascii="Times New Roman" w:eastAsia="Times New Roman" w:hAnsi="Times New Roman" w:cs="Times New Roman"/>
                <w:sz w:val="24"/>
                <w:szCs w:val="24"/>
                <w:lang w:eastAsia="ru-RU"/>
              </w:rPr>
              <w:t xml:space="preserve"> </w:t>
            </w:r>
            <w:proofErr w:type="spellStart"/>
            <w:r w:rsidR="005812FC" w:rsidRPr="0072723E">
              <w:rPr>
                <w:rFonts w:ascii="Times New Roman" w:eastAsia="Times New Roman" w:hAnsi="Times New Roman" w:cs="Times New Roman"/>
                <w:sz w:val="24"/>
                <w:szCs w:val="24"/>
                <w:lang w:eastAsia="ru-RU"/>
              </w:rPr>
              <w:t>грн</w:t>
            </w:r>
            <w:proofErr w:type="spellEnd"/>
            <w:r w:rsidR="005812FC" w:rsidRPr="0072723E">
              <w:rPr>
                <w:rFonts w:ascii="Times New Roman" w:eastAsia="Times New Roman" w:hAnsi="Times New Roman" w:cs="Times New Roman"/>
                <w:sz w:val="24"/>
                <w:szCs w:val="24"/>
                <w:lang w:eastAsia="ru-RU"/>
              </w:rPr>
              <w:t xml:space="preserve">  </w:t>
            </w:r>
            <w:r w:rsidR="0057566C">
              <w:rPr>
                <w:rFonts w:ascii="Times New Roman" w:eastAsia="Times New Roman" w:hAnsi="Times New Roman" w:cs="Times New Roman"/>
                <w:sz w:val="24"/>
                <w:szCs w:val="24"/>
                <w:lang w:eastAsia="ru-RU"/>
              </w:rPr>
              <w:t xml:space="preserve">будівництво </w:t>
            </w:r>
            <w:r w:rsidR="005812FC" w:rsidRPr="0072723E">
              <w:rPr>
                <w:rFonts w:ascii="Times New Roman" w:eastAsia="Times New Roman" w:hAnsi="Times New Roman" w:cs="Times New Roman"/>
                <w:sz w:val="24"/>
                <w:szCs w:val="24"/>
                <w:lang w:eastAsia="ru-RU"/>
              </w:rPr>
              <w:t xml:space="preserve">соціального житла жителям області. </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2.</w:t>
            </w:r>
          </w:p>
        </w:tc>
        <w:tc>
          <w:tcPr>
            <w:tcW w:w="2552" w:type="dxa"/>
            <w:vMerge/>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color w:val="000000"/>
                <w:sz w:val="24"/>
                <w:szCs w:val="24"/>
                <w:shd w:val="clear" w:color="auto" w:fill="FFFFFF"/>
              </w:rPr>
              <w:t>Розвиток мережі закладів охорони здоров’я та поліпшення медичного обслуговування</w:t>
            </w:r>
          </w:p>
        </w:tc>
        <w:tc>
          <w:tcPr>
            <w:tcW w:w="9214" w:type="dxa"/>
          </w:tcPr>
          <w:p w:rsidR="00447C2B" w:rsidRPr="00447C2B" w:rsidRDefault="00447C2B" w:rsidP="0057566C">
            <w:pPr>
              <w:ind w:firstLine="317"/>
              <w:jc w:val="both"/>
              <w:rPr>
                <w:rFonts w:ascii="Times New Roman" w:eastAsia="Times New Roman" w:hAnsi="Times New Roman" w:cs="Times New Roman"/>
                <w:sz w:val="24"/>
                <w:szCs w:val="24"/>
                <w:lang w:eastAsia="ru-RU"/>
              </w:rPr>
            </w:pPr>
            <w:r w:rsidRPr="00447C2B">
              <w:rPr>
                <w:rFonts w:ascii="Times New Roman" w:eastAsia="Times New Roman" w:hAnsi="Times New Roman" w:cs="Times New Roman"/>
                <w:sz w:val="24"/>
                <w:szCs w:val="24"/>
                <w:lang w:eastAsia="ru-RU"/>
              </w:rPr>
              <w:t>Первинний рівень надання медичної допомоги в області представлено 54 комунальними некомерційними підприємствами, які включають 303 лікарські амбулаторії, 688 фельдшерсько-акушерських пунктів. Функціонує також 17 приватних закладів первинного рівня.</w:t>
            </w:r>
          </w:p>
          <w:p w:rsidR="00447C2B" w:rsidRPr="0072723E" w:rsidRDefault="00447C2B" w:rsidP="0057566C">
            <w:pPr>
              <w:ind w:firstLine="317"/>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sz w:val="24"/>
                <w:szCs w:val="24"/>
                <w:lang w:eastAsia="ru-RU"/>
              </w:rPr>
              <w:t>С</w:t>
            </w:r>
            <w:r w:rsidRPr="00447C2B">
              <w:rPr>
                <w:rFonts w:ascii="Times New Roman" w:eastAsia="Times New Roman" w:hAnsi="Times New Roman" w:cs="Times New Roman"/>
                <w:sz w:val="24"/>
                <w:szCs w:val="24"/>
                <w:lang w:eastAsia="ru-RU"/>
              </w:rPr>
              <w:t>таном на 15</w:t>
            </w:r>
            <w:r w:rsidRPr="0072723E">
              <w:rPr>
                <w:rFonts w:ascii="Times New Roman" w:eastAsia="Times New Roman" w:hAnsi="Times New Roman" w:cs="Times New Roman"/>
                <w:sz w:val="24"/>
                <w:szCs w:val="24"/>
                <w:lang w:eastAsia="ru-RU"/>
              </w:rPr>
              <w:t>.03.</w:t>
            </w:r>
            <w:r w:rsidRPr="00447C2B">
              <w:rPr>
                <w:rFonts w:ascii="Times New Roman" w:eastAsia="Times New Roman" w:hAnsi="Times New Roman" w:cs="Times New Roman"/>
                <w:sz w:val="24"/>
                <w:szCs w:val="24"/>
                <w:lang w:eastAsia="ru-RU"/>
              </w:rPr>
              <w:t>2021 року на первинному рівні загальна кількість лікарів, що надають медичну допомогу у Вінницькій області</w:t>
            </w:r>
            <w:r w:rsidRPr="0072723E">
              <w:rPr>
                <w:rFonts w:ascii="Times New Roman" w:eastAsia="Times New Roman" w:hAnsi="Times New Roman" w:cs="Times New Roman"/>
                <w:sz w:val="24"/>
                <w:szCs w:val="24"/>
                <w:lang w:eastAsia="ru-RU"/>
              </w:rPr>
              <w:t>,</w:t>
            </w:r>
            <w:r w:rsidRPr="00447C2B">
              <w:rPr>
                <w:rFonts w:ascii="Times New Roman" w:eastAsia="Times New Roman" w:hAnsi="Times New Roman" w:cs="Times New Roman"/>
                <w:sz w:val="24"/>
                <w:szCs w:val="24"/>
                <w:lang w:eastAsia="ru-RU"/>
              </w:rPr>
              <w:t xml:space="preserve"> складає 879 осіб, з них: сімейних лікарів - 797, лікарів терапевтів - 41, педіатрів – 41. Кожного сімейного лікаря забезпечено автоматизованим робочим місцем. До кожного робочого місця підведено інтернет та забезпечено відповідним програмним забезпеченням. </w:t>
            </w:r>
          </w:p>
          <w:p w:rsidR="005812FC" w:rsidRPr="0072723E" w:rsidRDefault="005812FC" w:rsidP="0057566C">
            <w:pPr>
              <w:tabs>
                <w:tab w:val="left" w:pos="567"/>
              </w:tabs>
              <w:ind w:firstLine="317"/>
              <w:jc w:val="both"/>
              <w:rPr>
                <w:rFonts w:ascii="Times New Roman" w:eastAsia="Times New Roman" w:hAnsi="Times New Roman" w:cs="Times New Roman"/>
                <w:sz w:val="24"/>
                <w:szCs w:val="24"/>
                <w:lang w:eastAsia="ru-RU"/>
              </w:rPr>
            </w:pPr>
            <w:r w:rsidRPr="005812FC">
              <w:rPr>
                <w:rFonts w:ascii="Times New Roman" w:eastAsia="Times New Roman" w:hAnsi="Times New Roman" w:cs="Times New Roman"/>
                <w:sz w:val="24"/>
                <w:szCs w:val="24"/>
                <w:lang w:eastAsia="ru-RU"/>
              </w:rPr>
              <w:t xml:space="preserve">У Вінницькій області підписано з лікарями первинної ланки 1323056 декларацій, що складає 86 % населення. </w:t>
            </w:r>
          </w:p>
          <w:p w:rsidR="00447C2B" w:rsidRPr="0072723E" w:rsidRDefault="00447C2B" w:rsidP="008F34D3">
            <w:pPr>
              <w:tabs>
                <w:tab w:val="left" w:pos="567"/>
              </w:tabs>
              <w:ind w:firstLine="317"/>
              <w:jc w:val="both"/>
              <w:rPr>
                <w:rFonts w:ascii="Times New Roman" w:hAnsi="Times New Roman" w:cs="Times New Roman"/>
                <w:sz w:val="24"/>
                <w:szCs w:val="24"/>
              </w:rPr>
            </w:pPr>
            <w:r w:rsidRPr="0072723E">
              <w:rPr>
                <w:rFonts w:ascii="Times New Roman" w:eastAsia="Times New Roman" w:hAnsi="Times New Roman" w:cs="Times New Roman"/>
                <w:sz w:val="24"/>
                <w:szCs w:val="24"/>
                <w:lang w:eastAsia="ru-RU"/>
              </w:rPr>
              <w:t>П</w:t>
            </w:r>
            <w:r w:rsidRPr="00447C2B">
              <w:rPr>
                <w:rFonts w:ascii="Times New Roman" w:eastAsia="Times New Roman" w:hAnsi="Times New Roman" w:cs="Times New Roman"/>
                <w:sz w:val="24"/>
                <w:szCs w:val="24"/>
                <w:lang w:eastAsia="ru-RU"/>
              </w:rPr>
              <w:t>ротягом 2020 року збудовано 8 сільських амбулаторій</w:t>
            </w:r>
            <w:r w:rsidR="005812FC" w:rsidRPr="0072723E">
              <w:rPr>
                <w:rFonts w:ascii="Times New Roman" w:eastAsia="Times New Roman" w:hAnsi="Times New Roman" w:cs="Times New Roman"/>
                <w:sz w:val="24"/>
                <w:szCs w:val="24"/>
                <w:lang w:eastAsia="ru-RU"/>
              </w:rPr>
              <w:t xml:space="preserve">. </w:t>
            </w:r>
            <w:r w:rsidR="005812FC" w:rsidRPr="0072723E">
              <w:rPr>
                <w:rFonts w:ascii="Times New Roman" w:hAnsi="Times New Roman" w:cs="Times New Roman"/>
                <w:sz w:val="24"/>
                <w:szCs w:val="24"/>
              </w:rPr>
              <w:t>Загалом сума будівництва становила 13,73 млн грн. П</w:t>
            </w:r>
            <w:r w:rsidRPr="00447C2B">
              <w:rPr>
                <w:rFonts w:ascii="Times New Roman" w:eastAsia="Times New Roman" w:hAnsi="Times New Roman" w:cs="Times New Roman"/>
                <w:bCs/>
                <w:color w:val="000000"/>
                <w:sz w:val="24"/>
                <w:szCs w:val="24"/>
                <w:lang w:eastAsia="ru-RU"/>
              </w:rPr>
              <w:t xml:space="preserve">роводились ремонти та реконструкції </w:t>
            </w:r>
            <w:r w:rsidRPr="0072723E">
              <w:rPr>
                <w:rFonts w:ascii="Times New Roman" w:eastAsia="Times New Roman" w:hAnsi="Times New Roman" w:cs="Times New Roman"/>
                <w:bCs/>
                <w:color w:val="000000"/>
                <w:sz w:val="24"/>
                <w:szCs w:val="24"/>
                <w:lang w:eastAsia="ru-RU"/>
              </w:rPr>
              <w:t xml:space="preserve">у </w:t>
            </w:r>
            <w:r w:rsidRPr="00447C2B">
              <w:rPr>
                <w:rFonts w:ascii="Times New Roman" w:eastAsia="Times New Roman" w:hAnsi="Times New Roman" w:cs="Times New Roman"/>
                <w:bCs/>
                <w:color w:val="000000"/>
                <w:sz w:val="24"/>
                <w:szCs w:val="24"/>
                <w:lang w:eastAsia="ru-RU"/>
              </w:rPr>
              <w:t>27 сільських амбулаторі</w:t>
            </w:r>
            <w:r w:rsidRPr="0072723E">
              <w:rPr>
                <w:rFonts w:ascii="Times New Roman" w:eastAsia="Times New Roman" w:hAnsi="Times New Roman" w:cs="Times New Roman"/>
                <w:bCs/>
                <w:color w:val="000000"/>
                <w:sz w:val="24"/>
                <w:szCs w:val="24"/>
                <w:lang w:eastAsia="ru-RU"/>
              </w:rPr>
              <w:t>ях</w:t>
            </w:r>
            <w:r w:rsidR="00E177A1">
              <w:rPr>
                <w:rFonts w:ascii="Times New Roman" w:eastAsia="Times New Roman" w:hAnsi="Times New Roman" w:cs="Times New Roman"/>
                <w:bCs/>
                <w:color w:val="000000"/>
                <w:sz w:val="24"/>
                <w:szCs w:val="24"/>
                <w:lang w:eastAsia="ru-RU"/>
              </w:rPr>
              <w:t xml:space="preserve"> </w:t>
            </w:r>
            <w:r w:rsidR="005812FC" w:rsidRPr="0072723E">
              <w:rPr>
                <w:rFonts w:ascii="Times New Roman" w:hAnsi="Times New Roman" w:cs="Times New Roman"/>
                <w:color w:val="000000"/>
                <w:sz w:val="24"/>
                <w:szCs w:val="24"/>
              </w:rPr>
              <w:t xml:space="preserve">на суму </w:t>
            </w:r>
            <w:r w:rsidR="005812FC" w:rsidRPr="0072723E">
              <w:rPr>
                <w:rFonts w:ascii="Times New Roman" w:hAnsi="Times New Roman" w:cs="Times New Roman"/>
                <w:bCs/>
                <w:color w:val="000000"/>
                <w:sz w:val="24"/>
                <w:szCs w:val="24"/>
              </w:rPr>
              <w:t xml:space="preserve">45,15 </w:t>
            </w:r>
            <w:proofErr w:type="spellStart"/>
            <w:r w:rsidR="005812FC" w:rsidRPr="0072723E">
              <w:rPr>
                <w:rFonts w:ascii="Times New Roman" w:hAnsi="Times New Roman" w:cs="Times New Roman"/>
                <w:bCs/>
                <w:color w:val="000000"/>
                <w:sz w:val="24"/>
                <w:szCs w:val="24"/>
              </w:rPr>
              <w:t>млн</w:t>
            </w:r>
            <w:proofErr w:type="spellEnd"/>
            <w:r w:rsidR="005812FC" w:rsidRPr="0072723E">
              <w:rPr>
                <w:rFonts w:ascii="Times New Roman" w:hAnsi="Times New Roman" w:cs="Times New Roman"/>
                <w:bCs/>
                <w:color w:val="000000"/>
                <w:sz w:val="24"/>
                <w:szCs w:val="24"/>
              </w:rPr>
              <w:t xml:space="preserve"> грн</w:t>
            </w:r>
            <w:r w:rsidR="005812FC" w:rsidRPr="0072723E">
              <w:rPr>
                <w:rFonts w:ascii="Times New Roman" w:hAnsi="Times New Roman" w:cs="Times New Roman"/>
                <w:color w:val="000000"/>
                <w:sz w:val="24"/>
                <w:szCs w:val="24"/>
              </w:rPr>
              <w:t xml:space="preserve">. </w:t>
            </w:r>
            <w:r w:rsidRPr="00447C2B">
              <w:rPr>
                <w:rFonts w:ascii="Times New Roman" w:eastAsia="Times New Roman" w:hAnsi="Times New Roman" w:cs="Times New Roman"/>
                <w:color w:val="000000"/>
                <w:sz w:val="24"/>
                <w:szCs w:val="24"/>
                <w:lang w:eastAsia="ru-RU"/>
              </w:rPr>
              <w:t>Завершена реконструкція приміщень у 3 амбулаторіях.</w:t>
            </w:r>
            <w:r w:rsidR="005812FC" w:rsidRPr="0072723E">
              <w:rPr>
                <w:rFonts w:ascii="Times New Roman" w:eastAsia="Times New Roman" w:hAnsi="Times New Roman" w:cs="Times New Roman"/>
                <w:color w:val="000000"/>
                <w:sz w:val="24"/>
                <w:szCs w:val="24"/>
                <w:lang w:eastAsia="ru-RU"/>
              </w:rPr>
              <w:t xml:space="preserve"> З</w:t>
            </w:r>
            <w:r w:rsidR="005812FC" w:rsidRPr="0072723E">
              <w:rPr>
                <w:rFonts w:ascii="Times New Roman" w:eastAsia="Times New Roman" w:hAnsi="Times New Roman" w:cs="Times New Roman"/>
                <w:bCs/>
                <w:color w:val="000000"/>
                <w:sz w:val="24"/>
                <w:szCs w:val="24"/>
                <w:lang w:eastAsia="ru-RU"/>
              </w:rPr>
              <w:t xml:space="preserve">акуплено 122 </w:t>
            </w:r>
            <w:r w:rsidR="005812FC" w:rsidRPr="0072723E">
              <w:rPr>
                <w:rFonts w:ascii="Times New Roman" w:eastAsia="Times New Roman" w:hAnsi="Times New Roman" w:cs="Times New Roman"/>
                <w:color w:val="000000"/>
                <w:sz w:val="24"/>
                <w:szCs w:val="24"/>
                <w:lang w:eastAsia="ru-RU"/>
              </w:rPr>
              <w:t xml:space="preserve">легкових автомобілів для сімейних лікарів на загальну </w:t>
            </w:r>
            <w:r w:rsidR="005812FC" w:rsidRPr="0072723E">
              <w:rPr>
                <w:rFonts w:ascii="Times New Roman" w:eastAsia="Times New Roman" w:hAnsi="Times New Roman" w:cs="Times New Roman"/>
                <w:bCs/>
                <w:color w:val="000000"/>
                <w:sz w:val="24"/>
                <w:szCs w:val="24"/>
                <w:lang w:eastAsia="ru-RU"/>
              </w:rPr>
              <w:t xml:space="preserve">суму 61 </w:t>
            </w:r>
            <w:proofErr w:type="spellStart"/>
            <w:r w:rsidR="005812FC" w:rsidRPr="0072723E">
              <w:rPr>
                <w:rFonts w:ascii="Times New Roman" w:eastAsia="Times New Roman" w:hAnsi="Times New Roman" w:cs="Times New Roman"/>
                <w:bCs/>
                <w:color w:val="000000"/>
                <w:sz w:val="24"/>
                <w:szCs w:val="24"/>
                <w:lang w:eastAsia="ru-RU"/>
              </w:rPr>
              <w:t>млн</w:t>
            </w:r>
            <w:proofErr w:type="spellEnd"/>
            <w:r w:rsidR="005812FC" w:rsidRPr="0072723E">
              <w:rPr>
                <w:rFonts w:ascii="Times New Roman" w:eastAsia="Times New Roman" w:hAnsi="Times New Roman" w:cs="Times New Roman"/>
                <w:bCs/>
                <w:color w:val="000000"/>
                <w:sz w:val="24"/>
                <w:szCs w:val="24"/>
                <w:lang w:eastAsia="ru-RU"/>
              </w:rPr>
              <w:t xml:space="preserve"> грн</w:t>
            </w:r>
            <w:r w:rsidR="005812FC" w:rsidRPr="0072723E">
              <w:rPr>
                <w:rFonts w:ascii="Times New Roman" w:eastAsia="Times New Roman" w:hAnsi="Times New Roman" w:cs="Times New Roman"/>
                <w:color w:val="000000"/>
                <w:sz w:val="24"/>
                <w:szCs w:val="24"/>
                <w:lang w:eastAsia="ru-RU"/>
              </w:rPr>
              <w:t>.</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4.</w:t>
            </w:r>
          </w:p>
        </w:tc>
        <w:tc>
          <w:tcPr>
            <w:tcW w:w="2552" w:type="dxa"/>
            <w:vMerge/>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color w:val="000000"/>
                <w:sz w:val="24"/>
                <w:szCs w:val="24"/>
                <w:shd w:val="clear" w:color="auto" w:fill="FFFFFF"/>
              </w:rPr>
              <w:t>Впровадження місцевих програм розвитку фізичної культури і спорту та пропагування здорового способу життя на селі</w:t>
            </w:r>
          </w:p>
        </w:tc>
        <w:tc>
          <w:tcPr>
            <w:tcW w:w="9214" w:type="dxa"/>
          </w:tcPr>
          <w:p w:rsidR="00242551" w:rsidRPr="00242551" w:rsidRDefault="00242551" w:rsidP="0057566C">
            <w:pPr>
              <w:ind w:firstLine="317"/>
              <w:jc w:val="both"/>
              <w:rPr>
                <w:rFonts w:ascii="Times New Roman" w:eastAsia="Times New Roman" w:hAnsi="Times New Roman" w:cs="Times New Roman"/>
                <w:sz w:val="24"/>
                <w:szCs w:val="24"/>
                <w:lang w:eastAsia="ru-RU"/>
              </w:rPr>
            </w:pPr>
            <w:r w:rsidRPr="00242551">
              <w:rPr>
                <w:rFonts w:ascii="Times New Roman" w:eastAsia="Times New Roman" w:hAnsi="Times New Roman" w:cs="Times New Roman"/>
                <w:bCs/>
                <w:sz w:val="24"/>
                <w:szCs w:val="24"/>
                <w:lang w:eastAsia="ru-RU"/>
              </w:rPr>
              <w:t xml:space="preserve">В 2020 році </w:t>
            </w:r>
            <w:r w:rsidRPr="0072723E">
              <w:rPr>
                <w:rFonts w:ascii="Times New Roman" w:eastAsia="Times New Roman" w:hAnsi="Times New Roman" w:cs="Times New Roman"/>
                <w:bCs/>
                <w:sz w:val="24"/>
                <w:szCs w:val="24"/>
                <w:lang w:eastAsia="ru-RU"/>
              </w:rPr>
              <w:t>у</w:t>
            </w:r>
            <w:r w:rsidRPr="00242551">
              <w:rPr>
                <w:rFonts w:ascii="Times New Roman" w:eastAsia="Times New Roman" w:hAnsi="Times New Roman" w:cs="Times New Roman"/>
                <w:sz w:val="24"/>
                <w:szCs w:val="24"/>
                <w:lang w:eastAsia="ru-RU"/>
              </w:rPr>
              <w:t xml:space="preserve"> сільській місцевості області функціонувало 2646 спортивні споруди. До послуг мешканців села 4 стадіони, 16 сучасних майданчиків зі штучним покриттям, 319 майданчиків з нестандартним тренажерним обладнанням, 407 футбольних полів, 408 спортивних залів, 71 стрілецький тир, 2 плавальні басейни та інші спортивні споруди. До спортивної та фізкультурно-оздоровчої діяльності у 2020 році залучено 99187 осіб, що на 5,1 % менше ніж у 2019 році. </w:t>
            </w:r>
          </w:p>
          <w:p w:rsidR="00242551" w:rsidRPr="00242551" w:rsidRDefault="00242551" w:rsidP="0057566C">
            <w:pPr>
              <w:ind w:firstLine="317"/>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sz w:val="24"/>
                <w:szCs w:val="24"/>
                <w:lang w:eastAsia="ru-RU"/>
              </w:rPr>
              <w:lastRenderedPageBreak/>
              <w:t>В</w:t>
            </w:r>
            <w:r w:rsidRPr="00242551">
              <w:rPr>
                <w:rFonts w:ascii="Times New Roman" w:eastAsia="Times New Roman" w:hAnsi="Times New Roman" w:cs="Times New Roman"/>
                <w:sz w:val="24"/>
                <w:szCs w:val="24"/>
                <w:lang w:eastAsia="ru-RU"/>
              </w:rPr>
              <w:t xml:space="preserve"> 2020 році завершено будівництво (реконструкцію) 9 об’єктів (мультифункціональних майданчиків)</w:t>
            </w:r>
            <w:r w:rsidR="005812FC" w:rsidRPr="0072723E">
              <w:rPr>
                <w:rFonts w:ascii="Times New Roman" w:eastAsia="Times New Roman" w:hAnsi="Times New Roman" w:cs="Times New Roman"/>
                <w:sz w:val="24"/>
                <w:szCs w:val="24"/>
                <w:lang w:eastAsia="ru-RU"/>
              </w:rPr>
              <w:t>.</w:t>
            </w:r>
            <w:r w:rsidR="00E210AB" w:rsidRPr="0072723E">
              <w:rPr>
                <w:rFonts w:ascii="Times New Roman" w:eastAsia="Times New Roman" w:hAnsi="Times New Roman" w:cs="Times New Roman"/>
                <w:sz w:val="24"/>
                <w:szCs w:val="24"/>
                <w:lang w:eastAsia="ru-RU"/>
              </w:rPr>
              <w:t xml:space="preserve"> Вв</w:t>
            </w:r>
            <w:r w:rsidRPr="00242551">
              <w:rPr>
                <w:rFonts w:ascii="Times New Roman" w:eastAsia="Times New Roman" w:hAnsi="Times New Roman" w:cs="Times New Roman"/>
                <w:sz w:val="24"/>
                <w:szCs w:val="24"/>
                <w:lang w:eastAsia="ru-RU"/>
              </w:rPr>
              <w:t>едено в експлуатацію 18 спортивних об’єктів: 16 площинних спортивних споруд та 2 спортивних зали площею не менше 162 кв. м.</w:t>
            </w:r>
          </w:p>
          <w:p w:rsidR="00242551" w:rsidRPr="00242551" w:rsidRDefault="00242551" w:rsidP="0057566C">
            <w:pPr>
              <w:ind w:firstLine="317"/>
              <w:jc w:val="both"/>
              <w:rPr>
                <w:rFonts w:ascii="Times New Roman" w:eastAsia="Times New Roman" w:hAnsi="Times New Roman" w:cs="Times New Roman"/>
                <w:sz w:val="24"/>
                <w:szCs w:val="24"/>
                <w:lang w:eastAsia="ru-RU"/>
              </w:rPr>
            </w:pPr>
            <w:r w:rsidRPr="00242551">
              <w:rPr>
                <w:rFonts w:ascii="Times New Roman" w:eastAsia="Times New Roman" w:hAnsi="Times New Roman" w:cs="Times New Roman"/>
                <w:sz w:val="24"/>
                <w:szCs w:val="24"/>
                <w:lang w:eastAsia="ru-RU"/>
              </w:rPr>
              <w:t xml:space="preserve">У 2020 році, враховуючи карантинні обмеження, </w:t>
            </w:r>
            <w:r w:rsidR="001410FB" w:rsidRPr="00242551">
              <w:rPr>
                <w:rFonts w:ascii="Times New Roman" w:eastAsia="Times New Roman" w:hAnsi="Times New Roman" w:cs="Times New Roman"/>
                <w:sz w:val="24"/>
                <w:szCs w:val="24"/>
                <w:lang w:eastAsia="ru-RU"/>
              </w:rPr>
              <w:t>Вінницько</w:t>
            </w:r>
            <w:r w:rsidR="001410FB">
              <w:rPr>
                <w:rFonts w:ascii="Times New Roman" w:eastAsia="Times New Roman" w:hAnsi="Times New Roman" w:cs="Times New Roman"/>
                <w:sz w:val="24"/>
                <w:szCs w:val="24"/>
                <w:lang w:eastAsia="ru-RU"/>
              </w:rPr>
              <w:t>ю</w:t>
            </w:r>
            <w:r w:rsidR="001410FB" w:rsidRPr="00242551">
              <w:rPr>
                <w:rFonts w:ascii="Times New Roman" w:eastAsia="Times New Roman" w:hAnsi="Times New Roman" w:cs="Times New Roman"/>
                <w:sz w:val="24"/>
                <w:szCs w:val="24"/>
                <w:lang w:eastAsia="ru-RU"/>
              </w:rPr>
              <w:t xml:space="preserve"> територіально</w:t>
            </w:r>
            <w:r w:rsidR="001410FB">
              <w:rPr>
                <w:rFonts w:ascii="Times New Roman" w:eastAsia="Times New Roman" w:hAnsi="Times New Roman" w:cs="Times New Roman"/>
                <w:sz w:val="24"/>
                <w:szCs w:val="24"/>
                <w:lang w:eastAsia="ru-RU"/>
              </w:rPr>
              <w:t>ю організацією</w:t>
            </w:r>
            <w:r w:rsidR="001410FB" w:rsidRPr="00242551">
              <w:rPr>
                <w:rFonts w:ascii="Times New Roman" w:eastAsia="Times New Roman" w:hAnsi="Times New Roman" w:cs="Times New Roman"/>
                <w:sz w:val="24"/>
                <w:szCs w:val="24"/>
                <w:lang w:eastAsia="ru-RU"/>
              </w:rPr>
              <w:t xml:space="preserve"> ВФСТ «Колос» </w:t>
            </w:r>
            <w:r w:rsidRPr="00242551">
              <w:rPr>
                <w:rFonts w:ascii="Times New Roman" w:eastAsia="Times New Roman" w:hAnsi="Times New Roman" w:cs="Times New Roman"/>
                <w:sz w:val="24"/>
                <w:szCs w:val="24"/>
                <w:lang w:eastAsia="ru-RU"/>
              </w:rPr>
              <w:t>було проведено 10 комплексних заходів серед команд територіальних громад у сільській місцевості, де у фінальних змагання</w:t>
            </w:r>
            <w:r w:rsidR="001410FB">
              <w:rPr>
                <w:rFonts w:ascii="Times New Roman" w:eastAsia="Times New Roman" w:hAnsi="Times New Roman" w:cs="Times New Roman"/>
                <w:sz w:val="24"/>
                <w:szCs w:val="24"/>
                <w:lang w:eastAsia="ru-RU"/>
              </w:rPr>
              <w:t>х</w:t>
            </w:r>
            <w:r w:rsidRPr="00242551">
              <w:rPr>
                <w:rFonts w:ascii="Times New Roman" w:eastAsia="Times New Roman" w:hAnsi="Times New Roman" w:cs="Times New Roman"/>
                <w:sz w:val="24"/>
                <w:szCs w:val="24"/>
                <w:lang w:eastAsia="ru-RU"/>
              </w:rPr>
              <w:t xml:space="preserve"> взяли участь близько 3000 учасників, у тому числі школярі, студент</w:t>
            </w:r>
            <w:r w:rsidR="006178D3">
              <w:rPr>
                <w:rFonts w:ascii="Times New Roman" w:eastAsia="Times New Roman" w:hAnsi="Times New Roman" w:cs="Times New Roman"/>
                <w:sz w:val="24"/>
                <w:szCs w:val="24"/>
                <w:lang w:eastAsia="ru-RU"/>
              </w:rPr>
              <w:t>и</w:t>
            </w:r>
            <w:r w:rsidRPr="00242551">
              <w:rPr>
                <w:rFonts w:ascii="Times New Roman" w:eastAsia="Times New Roman" w:hAnsi="Times New Roman" w:cs="Times New Roman"/>
                <w:sz w:val="24"/>
                <w:szCs w:val="24"/>
                <w:lang w:eastAsia="ru-RU"/>
              </w:rPr>
              <w:t>, ветеран</w:t>
            </w:r>
            <w:r w:rsidR="001410FB">
              <w:rPr>
                <w:rFonts w:ascii="Times New Roman" w:eastAsia="Times New Roman" w:hAnsi="Times New Roman" w:cs="Times New Roman"/>
                <w:sz w:val="24"/>
                <w:szCs w:val="24"/>
                <w:lang w:eastAsia="ru-RU"/>
              </w:rPr>
              <w:t>и</w:t>
            </w:r>
            <w:r w:rsidRPr="00242551">
              <w:rPr>
                <w:rFonts w:ascii="Times New Roman" w:eastAsia="Times New Roman" w:hAnsi="Times New Roman" w:cs="Times New Roman"/>
                <w:sz w:val="24"/>
                <w:szCs w:val="24"/>
                <w:lang w:eastAsia="ru-RU"/>
              </w:rPr>
              <w:t xml:space="preserve"> спорту. </w:t>
            </w:r>
          </w:p>
          <w:p w:rsidR="00242551" w:rsidRPr="0072723E" w:rsidRDefault="00242551" w:rsidP="001410FB">
            <w:pPr>
              <w:ind w:firstLine="317"/>
              <w:jc w:val="both"/>
              <w:rPr>
                <w:rFonts w:ascii="Times New Roman" w:hAnsi="Times New Roman" w:cs="Times New Roman"/>
                <w:sz w:val="24"/>
                <w:szCs w:val="24"/>
              </w:rPr>
            </w:pPr>
            <w:r w:rsidRPr="00242551">
              <w:rPr>
                <w:rFonts w:ascii="Times New Roman" w:eastAsia="Times New Roman" w:hAnsi="Times New Roman" w:cs="Times New Roman"/>
                <w:sz w:val="24"/>
                <w:szCs w:val="24"/>
                <w:lang w:eastAsia="ru-RU"/>
              </w:rPr>
              <w:t>Вінницьк</w:t>
            </w:r>
            <w:r w:rsidR="001410FB">
              <w:rPr>
                <w:rFonts w:ascii="Times New Roman" w:eastAsia="Times New Roman" w:hAnsi="Times New Roman" w:cs="Times New Roman"/>
                <w:sz w:val="24"/>
                <w:szCs w:val="24"/>
                <w:lang w:eastAsia="ru-RU"/>
              </w:rPr>
              <w:t>а</w:t>
            </w:r>
            <w:r w:rsidRPr="00242551">
              <w:rPr>
                <w:rFonts w:ascii="Times New Roman" w:eastAsia="Times New Roman" w:hAnsi="Times New Roman" w:cs="Times New Roman"/>
                <w:sz w:val="24"/>
                <w:szCs w:val="24"/>
                <w:lang w:eastAsia="ru-RU"/>
              </w:rPr>
              <w:t xml:space="preserve"> територіальн</w:t>
            </w:r>
            <w:r w:rsidR="001410FB">
              <w:rPr>
                <w:rFonts w:ascii="Times New Roman" w:eastAsia="Times New Roman" w:hAnsi="Times New Roman" w:cs="Times New Roman"/>
                <w:sz w:val="24"/>
                <w:szCs w:val="24"/>
                <w:lang w:eastAsia="ru-RU"/>
              </w:rPr>
              <w:t>а</w:t>
            </w:r>
            <w:r w:rsidRPr="00242551">
              <w:rPr>
                <w:rFonts w:ascii="Times New Roman" w:eastAsia="Times New Roman" w:hAnsi="Times New Roman" w:cs="Times New Roman"/>
                <w:sz w:val="24"/>
                <w:szCs w:val="24"/>
                <w:lang w:eastAsia="ru-RU"/>
              </w:rPr>
              <w:t xml:space="preserve"> організації ВФСТ «Колос» </w:t>
            </w:r>
            <w:r w:rsidR="001410FB">
              <w:rPr>
                <w:rFonts w:ascii="Times New Roman" w:eastAsia="Times New Roman" w:hAnsi="Times New Roman" w:cs="Times New Roman"/>
                <w:sz w:val="24"/>
                <w:szCs w:val="24"/>
                <w:lang w:eastAsia="ru-RU"/>
              </w:rPr>
              <w:t>є учасником</w:t>
            </w:r>
            <w:r w:rsidRPr="00242551">
              <w:rPr>
                <w:rFonts w:ascii="Times New Roman" w:eastAsia="Times New Roman" w:hAnsi="Times New Roman" w:cs="Times New Roman"/>
                <w:sz w:val="24"/>
                <w:szCs w:val="24"/>
                <w:lang w:eastAsia="ru-RU"/>
              </w:rPr>
              <w:t xml:space="preserve"> </w:t>
            </w:r>
            <w:proofErr w:type="spellStart"/>
            <w:r w:rsidR="001410FB">
              <w:rPr>
                <w:rFonts w:ascii="Times New Roman" w:eastAsia="Times New Roman" w:hAnsi="Times New Roman" w:cs="Times New Roman"/>
                <w:sz w:val="24"/>
                <w:szCs w:val="24"/>
                <w:lang w:eastAsia="ru-RU"/>
              </w:rPr>
              <w:t>проєкту</w:t>
            </w:r>
            <w:proofErr w:type="spellEnd"/>
            <w:r w:rsidR="001410FB">
              <w:rPr>
                <w:rFonts w:ascii="Times New Roman" w:eastAsia="Times New Roman" w:hAnsi="Times New Roman" w:cs="Times New Roman"/>
                <w:sz w:val="24"/>
                <w:szCs w:val="24"/>
                <w:lang w:eastAsia="ru-RU"/>
              </w:rPr>
              <w:t xml:space="preserve"> </w:t>
            </w:r>
            <w:r w:rsidRPr="00242551">
              <w:rPr>
                <w:rFonts w:ascii="Times New Roman" w:eastAsia="Times New Roman" w:hAnsi="Times New Roman" w:cs="Times New Roman"/>
                <w:sz w:val="24"/>
                <w:szCs w:val="24"/>
                <w:lang w:eastAsia="ru-RU"/>
              </w:rPr>
              <w:t xml:space="preserve"> Міжнародного Вишеградського Фонду </w:t>
            </w:r>
            <w:r w:rsidR="001410FB" w:rsidRPr="001410FB">
              <w:rPr>
                <w:rFonts w:ascii="Times New Roman" w:eastAsia="Times New Roman" w:hAnsi="Times New Roman" w:cs="Times New Roman"/>
                <w:sz w:val="24"/>
                <w:szCs w:val="24"/>
                <w:lang w:eastAsia="ru-RU"/>
              </w:rPr>
              <w:t>«Програма фізичного оздоровлення населення в громадах – досвід країн Вишеградської четвірки для України»</w:t>
            </w:r>
            <w:r w:rsidR="001410FB">
              <w:rPr>
                <w:rFonts w:ascii="Times New Roman" w:eastAsia="Times New Roman" w:hAnsi="Times New Roman" w:cs="Times New Roman"/>
                <w:sz w:val="24"/>
                <w:szCs w:val="24"/>
                <w:lang w:eastAsia="ru-RU"/>
              </w:rPr>
              <w:t xml:space="preserve"> </w:t>
            </w:r>
            <w:r w:rsidRPr="00242551">
              <w:rPr>
                <w:rFonts w:ascii="Times New Roman" w:eastAsia="Times New Roman" w:hAnsi="Times New Roman" w:cs="Times New Roman"/>
                <w:sz w:val="24"/>
                <w:szCs w:val="24"/>
                <w:lang w:eastAsia="ru-RU"/>
              </w:rPr>
              <w:t xml:space="preserve">з дотацією Фонду  </w:t>
            </w:r>
            <w:r w:rsidR="001410FB">
              <w:rPr>
                <w:rFonts w:ascii="Times New Roman" w:eastAsia="Times New Roman" w:hAnsi="Times New Roman" w:cs="Times New Roman"/>
                <w:sz w:val="24"/>
                <w:szCs w:val="24"/>
                <w:lang w:eastAsia="ru-RU"/>
              </w:rPr>
              <w:t>в</w:t>
            </w:r>
            <w:r w:rsidRPr="00242551">
              <w:rPr>
                <w:rFonts w:ascii="Times New Roman" w:eastAsia="Times New Roman" w:hAnsi="Times New Roman" w:cs="Times New Roman"/>
                <w:sz w:val="24"/>
                <w:szCs w:val="24"/>
                <w:lang w:eastAsia="ru-RU"/>
              </w:rPr>
              <w:t xml:space="preserve"> сум</w:t>
            </w:r>
            <w:r w:rsidR="001410FB">
              <w:rPr>
                <w:rFonts w:ascii="Times New Roman" w:eastAsia="Times New Roman" w:hAnsi="Times New Roman" w:cs="Times New Roman"/>
                <w:sz w:val="24"/>
                <w:szCs w:val="24"/>
                <w:lang w:eastAsia="ru-RU"/>
              </w:rPr>
              <w:t>і</w:t>
            </w:r>
            <w:r w:rsidRPr="00242551">
              <w:rPr>
                <w:rFonts w:ascii="Times New Roman" w:eastAsia="Times New Roman" w:hAnsi="Times New Roman" w:cs="Times New Roman"/>
                <w:sz w:val="24"/>
                <w:szCs w:val="24"/>
                <w:lang w:eastAsia="ru-RU"/>
              </w:rPr>
              <w:t xml:space="preserve"> 16240 євро. Загальний бюджет проєкту складає 32 600 євро. </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lastRenderedPageBreak/>
              <w:t>5.</w:t>
            </w:r>
          </w:p>
        </w:tc>
        <w:tc>
          <w:tcPr>
            <w:tcW w:w="2552" w:type="dxa"/>
            <w:vMerge/>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color w:val="000000"/>
                <w:sz w:val="24"/>
                <w:szCs w:val="24"/>
                <w:shd w:val="clear" w:color="auto" w:fill="FFFFFF"/>
              </w:rPr>
              <w:t>Проведення перевірки стану автомобільних доріг, затвердження поетапного плану ремонтних робіт з урахуванням потреб екстреної медичної допомоги</w:t>
            </w:r>
          </w:p>
        </w:tc>
        <w:tc>
          <w:tcPr>
            <w:tcW w:w="9214" w:type="dxa"/>
          </w:tcPr>
          <w:p w:rsidR="00E210AB" w:rsidRPr="00E210AB" w:rsidRDefault="00E210AB" w:rsidP="0057566C">
            <w:pPr>
              <w:ind w:firstLine="317"/>
              <w:jc w:val="both"/>
              <w:rPr>
                <w:rFonts w:ascii="Times New Roman" w:eastAsia="Times New Roman" w:hAnsi="Times New Roman" w:cs="Times New Roman"/>
                <w:sz w:val="24"/>
                <w:szCs w:val="24"/>
                <w:lang w:val="ru-RU" w:eastAsia="ru-RU"/>
              </w:rPr>
            </w:pPr>
            <w:r w:rsidRPr="00E210AB">
              <w:rPr>
                <w:rFonts w:ascii="Times New Roman" w:eastAsia="Times New Roman" w:hAnsi="Times New Roman" w:cs="Times New Roman"/>
                <w:sz w:val="24"/>
                <w:szCs w:val="24"/>
                <w:lang w:eastAsia="ru-RU"/>
              </w:rPr>
              <w:t>Станом на 01.01.2021 року на балансі Служби автомобільних доріг у Вінницькій області перебувають автомобільні дороги загального користування державного значення протяжністю 2020,8 км. До складу об’єктів транспортної інфраструктури області входять 216 мостів та шляхопроводів.</w:t>
            </w:r>
          </w:p>
          <w:p w:rsidR="00E210AB" w:rsidRPr="00E210AB" w:rsidRDefault="00E210AB" w:rsidP="0057566C">
            <w:pPr>
              <w:ind w:firstLine="317"/>
              <w:jc w:val="both"/>
              <w:rPr>
                <w:rFonts w:ascii="Times New Roman" w:eastAsia="Times New Roman" w:hAnsi="Times New Roman" w:cs="Times New Roman"/>
                <w:sz w:val="24"/>
                <w:szCs w:val="24"/>
                <w:lang w:eastAsia="ru-RU"/>
              </w:rPr>
            </w:pPr>
            <w:r w:rsidRPr="00E210AB">
              <w:rPr>
                <w:rFonts w:ascii="Times New Roman" w:eastAsia="Times New Roman" w:hAnsi="Times New Roman" w:cs="Times New Roman"/>
                <w:sz w:val="24"/>
                <w:szCs w:val="24"/>
                <w:lang w:eastAsia="ru-RU"/>
              </w:rPr>
              <w:t xml:space="preserve">У 2020 році на автомобільних дорогах загального користування області виконувалися роботи з капітального, поточного середнього ремонту та експлуатаційного утримання автомобільних доріг.  Фактично виконано робіт на </w:t>
            </w:r>
            <w:r w:rsidR="00170E5A">
              <w:rPr>
                <w:rFonts w:ascii="Times New Roman" w:eastAsia="Times New Roman" w:hAnsi="Times New Roman" w:cs="Times New Roman"/>
                <w:sz w:val="24"/>
                <w:szCs w:val="24"/>
                <w:lang w:eastAsia="ru-RU"/>
              </w:rPr>
              <w:t xml:space="preserve"> </w:t>
            </w:r>
            <w:r w:rsidRPr="00E210AB">
              <w:rPr>
                <w:rFonts w:ascii="Times New Roman" w:eastAsia="Times New Roman" w:hAnsi="Times New Roman" w:cs="Times New Roman"/>
                <w:sz w:val="24"/>
                <w:szCs w:val="24"/>
                <w:lang w:eastAsia="ru-RU"/>
              </w:rPr>
              <w:t xml:space="preserve">2773,7 </w:t>
            </w:r>
            <w:proofErr w:type="spellStart"/>
            <w:r w:rsidRPr="00E210AB">
              <w:rPr>
                <w:rFonts w:ascii="Times New Roman" w:eastAsia="Times New Roman" w:hAnsi="Times New Roman" w:cs="Times New Roman"/>
                <w:sz w:val="24"/>
                <w:szCs w:val="24"/>
                <w:lang w:eastAsia="ru-RU"/>
              </w:rPr>
              <w:t>млн</w:t>
            </w:r>
            <w:proofErr w:type="spellEnd"/>
            <w:r w:rsidR="00170E5A">
              <w:rPr>
                <w:rFonts w:ascii="Times New Roman" w:eastAsia="Times New Roman" w:hAnsi="Times New Roman" w:cs="Times New Roman"/>
                <w:sz w:val="24"/>
                <w:szCs w:val="24"/>
                <w:lang w:eastAsia="ru-RU"/>
              </w:rPr>
              <w:t xml:space="preserve"> </w:t>
            </w:r>
            <w:proofErr w:type="spellStart"/>
            <w:r w:rsidRPr="00E210AB">
              <w:rPr>
                <w:rFonts w:ascii="Times New Roman" w:eastAsia="Times New Roman" w:hAnsi="Times New Roman" w:cs="Times New Roman"/>
                <w:sz w:val="24"/>
                <w:szCs w:val="24"/>
                <w:lang w:eastAsia="ru-RU"/>
              </w:rPr>
              <w:t>грн</w:t>
            </w:r>
            <w:proofErr w:type="spellEnd"/>
            <w:r w:rsidRPr="00E210AB">
              <w:rPr>
                <w:rFonts w:ascii="Times New Roman" w:eastAsia="Times New Roman" w:hAnsi="Times New Roman" w:cs="Times New Roman"/>
                <w:sz w:val="24"/>
                <w:szCs w:val="24"/>
                <w:lang w:eastAsia="ru-RU"/>
              </w:rPr>
              <w:t>, в т. ч. капітальний ремонт – 923,7 млн грн (відремонтовано 12,3 км доріг та 282 пог. метрів мосту)</w:t>
            </w:r>
            <w:r w:rsidR="00170E5A">
              <w:rPr>
                <w:rFonts w:ascii="Times New Roman" w:eastAsia="Times New Roman" w:hAnsi="Times New Roman" w:cs="Times New Roman"/>
                <w:sz w:val="24"/>
                <w:szCs w:val="24"/>
                <w:lang w:eastAsia="ru-RU"/>
              </w:rPr>
              <w:t>,</w:t>
            </w:r>
            <w:r w:rsidRPr="00E210AB">
              <w:rPr>
                <w:rFonts w:ascii="Times New Roman" w:eastAsia="Times New Roman" w:hAnsi="Times New Roman" w:cs="Times New Roman"/>
                <w:sz w:val="24"/>
                <w:szCs w:val="24"/>
                <w:lang w:eastAsia="ru-RU"/>
              </w:rPr>
              <w:t xml:space="preserve"> поточний середній ремонт – 1444,1 млн грн (відремонтовано 68 км доріг)</w:t>
            </w:r>
            <w:r w:rsidR="00170E5A">
              <w:rPr>
                <w:rFonts w:ascii="Times New Roman" w:eastAsia="Times New Roman" w:hAnsi="Times New Roman" w:cs="Times New Roman"/>
                <w:sz w:val="24"/>
                <w:szCs w:val="24"/>
                <w:lang w:eastAsia="ru-RU"/>
              </w:rPr>
              <w:t>,</w:t>
            </w:r>
            <w:r w:rsidRPr="00E210AB">
              <w:rPr>
                <w:rFonts w:ascii="Times New Roman" w:eastAsia="Times New Roman" w:hAnsi="Times New Roman" w:cs="Times New Roman"/>
                <w:sz w:val="24"/>
                <w:szCs w:val="24"/>
                <w:lang w:eastAsia="ru-RU"/>
              </w:rPr>
              <w:t xml:space="preserve"> експлуатаційне утримання – 405,9 </w:t>
            </w:r>
            <w:proofErr w:type="spellStart"/>
            <w:r w:rsidRPr="00E210AB">
              <w:rPr>
                <w:rFonts w:ascii="Times New Roman" w:eastAsia="Times New Roman" w:hAnsi="Times New Roman" w:cs="Times New Roman"/>
                <w:sz w:val="24"/>
                <w:szCs w:val="24"/>
                <w:lang w:eastAsia="ru-RU"/>
              </w:rPr>
              <w:t>млн</w:t>
            </w:r>
            <w:proofErr w:type="spellEnd"/>
            <w:r w:rsidR="00170E5A">
              <w:rPr>
                <w:rFonts w:ascii="Times New Roman" w:eastAsia="Times New Roman" w:hAnsi="Times New Roman" w:cs="Times New Roman"/>
                <w:sz w:val="24"/>
                <w:szCs w:val="24"/>
                <w:lang w:eastAsia="ru-RU"/>
              </w:rPr>
              <w:t xml:space="preserve"> </w:t>
            </w:r>
            <w:proofErr w:type="spellStart"/>
            <w:r w:rsidR="00170E5A">
              <w:rPr>
                <w:rFonts w:ascii="Times New Roman" w:eastAsia="Times New Roman" w:hAnsi="Times New Roman" w:cs="Times New Roman"/>
                <w:sz w:val="24"/>
                <w:szCs w:val="24"/>
                <w:lang w:eastAsia="ru-RU"/>
              </w:rPr>
              <w:t>грн</w:t>
            </w:r>
            <w:proofErr w:type="spellEnd"/>
            <w:r w:rsidRPr="00E210AB">
              <w:rPr>
                <w:rFonts w:ascii="Times New Roman" w:eastAsia="Times New Roman" w:hAnsi="Times New Roman" w:cs="Times New Roman"/>
                <w:sz w:val="24"/>
                <w:szCs w:val="24"/>
                <w:lang w:eastAsia="ru-RU"/>
              </w:rPr>
              <w:t xml:space="preserve"> (в тому числі співфінансування з сільськими та селищними радами - 720 тис. </w:t>
            </w:r>
            <w:proofErr w:type="spellStart"/>
            <w:r w:rsidRPr="00E210AB">
              <w:rPr>
                <w:rFonts w:ascii="Times New Roman" w:eastAsia="Times New Roman" w:hAnsi="Times New Roman" w:cs="Times New Roman"/>
                <w:sz w:val="24"/>
                <w:szCs w:val="24"/>
                <w:lang w:eastAsia="ru-RU"/>
              </w:rPr>
              <w:t>грн</w:t>
            </w:r>
            <w:proofErr w:type="spellEnd"/>
            <w:r w:rsidRPr="00E210AB">
              <w:rPr>
                <w:rFonts w:ascii="Times New Roman" w:eastAsia="Times New Roman" w:hAnsi="Times New Roman" w:cs="Times New Roman"/>
                <w:sz w:val="24"/>
                <w:szCs w:val="24"/>
                <w:lang w:eastAsia="ru-RU"/>
              </w:rPr>
              <w:t>).</w:t>
            </w:r>
            <w:r w:rsidR="00170E5A">
              <w:rPr>
                <w:rFonts w:ascii="Times New Roman" w:eastAsia="Times New Roman" w:hAnsi="Times New Roman" w:cs="Times New Roman"/>
                <w:sz w:val="24"/>
                <w:szCs w:val="24"/>
                <w:lang w:eastAsia="ru-RU"/>
              </w:rPr>
              <w:t xml:space="preserve"> </w:t>
            </w:r>
            <w:r w:rsidRPr="00E210AB">
              <w:rPr>
                <w:rFonts w:ascii="Times New Roman" w:eastAsia="Times New Roman" w:hAnsi="Times New Roman" w:cs="Times New Roman"/>
                <w:sz w:val="24"/>
                <w:szCs w:val="24"/>
                <w:lang w:eastAsia="ru-RU"/>
              </w:rPr>
              <w:t xml:space="preserve">Ліквідовано </w:t>
            </w:r>
            <w:proofErr w:type="spellStart"/>
            <w:r w:rsidRPr="00E210AB">
              <w:rPr>
                <w:rFonts w:ascii="Times New Roman" w:eastAsia="Times New Roman" w:hAnsi="Times New Roman" w:cs="Times New Roman"/>
                <w:sz w:val="24"/>
                <w:szCs w:val="24"/>
                <w:lang w:eastAsia="ru-RU"/>
              </w:rPr>
              <w:t>ямковості</w:t>
            </w:r>
            <w:proofErr w:type="spellEnd"/>
            <w:r w:rsidRPr="00E210AB">
              <w:rPr>
                <w:rFonts w:ascii="Times New Roman" w:eastAsia="Times New Roman" w:hAnsi="Times New Roman" w:cs="Times New Roman"/>
                <w:sz w:val="24"/>
                <w:szCs w:val="24"/>
                <w:lang w:eastAsia="ru-RU"/>
              </w:rPr>
              <w:t xml:space="preserve"> </w:t>
            </w:r>
            <w:r w:rsidRPr="0072723E">
              <w:rPr>
                <w:rFonts w:ascii="Times New Roman" w:eastAsia="Times New Roman" w:hAnsi="Times New Roman" w:cs="Times New Roman"/>
                <w:sz w:val="24"/>
                <w:szCs w:val="24"/>
                <w:lang w:eastAsia="ru-RU"/>
              </w:rPr>
              <w:t xml:space="preserve">доріг </w:t>
            </w:r>
            <w:r w:rsidRPr="00E210AB">
              <w:rPr>
                <w:rFonts w:ascii="Times New Roman" w:eastAsia="Times New Roman" w:hAnsi="Times New Roman" w:cs="Times New Roman"/>
                <w:sz w:val="24"/>
                <w:szCs w:val="24"/>
                <w:lang w:eastAsia="ru-RU"/>
              </w:rPr>
              <w:t>за 2020 рік на 721446 м</w:t>
            </w:r>
            <w:r w:rsidRPr="00E210AB">
              <w:rPr>
                <w:rFonts w:ascii="Times New Roman" w:eastAsia="Times New Roman" w:hAnsi="Times New Roman" w:cs="Times New Roman"/>
                <w:sz w:val="24"/>
                <w:szCs w:val="24"/>
                <w:vertAlign w:val="superscript"/>
                <w:lang w:eastAsia="ru-RU"/>
              </w:rPr>
              <w:t>2</w:t>
            </w:r>
            <w:r w:rsidRPr="00E210AB">
              <w:rPr>
                <w:rFonts w:ascii="Times New Roman" w:eastAsia="Times New Roman" w:hAnsi="Times New Roman" w:cs="Times New Roman"/>
                <w:sz w:val="24"/>
                <w:szCs w:val="24"/>
                <w:lang w:eastAsia="ru-RU"/>
              </w:rPr>
              <w:t>.</w:t>
            </w:r>
          </w:p>
          <w:p w:rsidR="00E210AB" w:rsidRPr="00E210AB" w:rsidRDefault="00E210AB" w:rsidP="0057566C">
            <w:pPr>
              <w:ind w:firstLine="317"/>
              <w:jc w:val="both"/>
              <w:rPr>
                <w:rFonts w:ascii="Times New Roman" w:eastAsia="Times New Roman" w:hAnsi="Times New Roman" w:cs="Times New Roman"/>
                <w:sz w:val="24"/>
                <w:szCs w:val="24"/>
                <w:lang w:eastAsia="ru-RU"/>
              </w:rPr>
            </w:pPr>
            <w:r w:rsidRPr="00E210AB">
              <w:rPr>
                <w:rFonts w:ascii="Times New Roman" w:eastAsia="Times New Roman" w:hAnsi="Times New Roman" w:cs="Times New Roman"/>
                <w:sz w:val="24"/>
                <w:szCs w:val="24"/>
                <w:lang w:eastAsia="ru-RU"/>
              </w:rPr>
              <w:t>В 2020 році на відновлення та утримання мережі автомобільних доріг загального користування місцевого значення спрямовано коштів державного дорожнього фонду у обсязі 1262,1 млн грн. Влаштовано дорожнього покриття на 104 км доріг місцевого значення та 308,1 пог. метрів штучних споруд.</w:t>
            </w:r>
          </w:p>
          <w:p w:rsidR="00E210AB" w:rsidRPr="0072723E" w:rsidRDefault="00E210AB" w:rsidP="0057566C">
            <w:pPr>
              <w:ind w:firstLine="317"/>
              <w:jc w:val="both"/>
              <w:rPr>
                <w:rFonts w:ascii="Times New Roman" w:hAnsi="Times New Roman" w:cs="Times New Roman"/>
                <w:sz w:val="24"/>
                <w:szCs w:val="24"/>
              </w:rPr>
            </w:pPr>
            <w:r w:rsidRPr="00E210AB">
              <w:rPr>
                <w:rFonts w:ascii="Times New Roman" w:eastAsia="Times New Roman" w:hAnsi="Times New Roman" w:cs="Times New Roman"/>
                <w:sz w:val="24"/>
                <w:szCs w:val="24"/>
                <w:lang w:eastAsia="ru-RU"/>
              </w:rPr>
              <w:t>У 2020 році за результатами конкурсного відбору та на умовах співфінансування з місцевих бюджетів реалізовано 50 проєктів з будівництва, реконструкції та капітального ремонту вулиць і доріг комунальної власності у населених пунктах області. На зазначені цілі спрямовано 67,3 млн грн коштів державного дорожнього фонду, з яких освоєно 67,1 млн</w:t>
            </w:r>
            <w:r w:rsidRPr="0072723E">
              <w:rPr>
                <w:rFonts w:ascii="Times New Roman" w:eastAsia="Times New Roman" w:hAnsi="Times New Roman" w:cs="Times New Roman"/>
                <w:sz w:val="24"/>
                <w:szCs w:val="24"/>
                <w:lang w:eastAsia="ru-RU"/>
              </w:rPr>
              <w:t xml:space="preserve"> г</w:t>
            </w:r>
            <w:r w:rsidRPr="00E210AB">
              <w:rPr>
                <w:rFonts w:ascii="Times New Roman" w:eastAsia="Times New Roman" w:hAnsi="Times New Roman" w:cs="Times New Roman"/>
                <w:sz w:val="24"/>
                <w:szCs w:val="24"/>
                <w:lang w:eastAsia="ru-RU"/>
              </w:rPr>
              <w:t>рн.</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6.</w:t>
            </w:r>
          </w:p>
        </w:tc>
        <w:tc>
          <w:tcPr>
            <w:tcW w:w="2552" w:type="dxa"/>
            <w:vMerge/>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color w:val="000000"/>
                <w:sz w:val="24"/>
                <w:szCs w:val="24"/>
                <w:shd w:val="clear" w:color="auto" w:fill="FFFFFF"/>
              </w:rPr>
              <w:t>Зміцнення матеріально-технічної бази закладів культури та впровадження сучасних інформаційних технологій в їх діяльність; проведення культурно-</w:t>
            </w:r>
            <w:r w:rsidRPr="0072723E">
              <w:rPr>
                <w:rFonts w:ascii="Times New Roman" w:hAnsi="Times New Roman" w:cs="Times New Roman"/>
                <w:color w:val="000000"/>
                <w:sz w:val="24"/>
                <w:szCs w:val="24"/>
                <w:shd w:val="clear" w:color="auto" w:fill="FFFFFF"/>
              </w:rPr>
              <w:lastRenderedPageBreak/>
              <w:t>мистецьких заходів у сільській місцевості</w:t>
            </w:r>
          </w:p>
        </w:tc>
        <w:tc>
          <w:tcPr>
            <w:tcW w:w="9214" w:type="dxa"/>
          </w:tcPr>
          <w:p w:rsidR="00E210AB" w:rsidRPr="00E210AB" w:rsidRDefault="00E210AB" w:rsidP="0057566C">
            <w:pPr>
              <w:ind w:firstLine="317"/>
              <w:jc w:val="both"/>
              <w:rPr>
                <w:rFonts w:ascii="Times New Roman" w:eastAsia="Times New Roman" w:hAnsi="Times New Roman" w:cs="Times New Roman"/>
                <w:bCs/>
                <w:sz w:val="24"/>
                <w:szCs w:val="24"/>
                <w:lang w:eastAsia="ru-RU"/>
              </w:rPr>
            </w:pPr>
            <w:r w:rsidRPr="00E210AB">
              <w:rPr>
                <w:rFonts w:ascii="Times New Roman" w:eastAsia="Times New Roman" w:hAnsi="Times New Roman" w:cs="Times New Roman"/>
                <w:bCs/>
                <w:sz w:val="24"/>
                <w:szCs w:val="24"/>
                <w:lang w:eastAsia="ru-RU"/>
              </w:rPr>
              <w:lastRenderedPageBreak/>
              <w:t xml:space="preserve">Мережа закладів культури області становить 2096 одиниць, з них: </w:t>
            </w:r>
            <w:r w:rsidRPr="00E210AB">
              <w:rPr>
                <w:rFonts w:ascii="Times New Roman" w:eastAsia="Times New Roman" w:hAnsi="Times New Roman" w:cs="Times New Roman"/>
                <w:sz w:val="24"/>
                <w:szCs w:val="24"/>
                <w:lang w:eastAsia="ru-RU"/>
              </w:rPr>
              <w:t xml:space="preserve">65музеїв (в тому числі на селі - 35), 1038 клубних закладів (в тому числі на селі - 985), 915 бібліотек (в тому числі на селі - 816), 55 мистецьких шкіл (в тому числі на селі – 22), адміністрація Державного історико-культурного заповідника «Буша» (с. Буша </w:t>
            </w:r>
            <w:r w:rsidR="00170E5A">
              <w:rPr>
                <w:rFonts w:ascii="Times New Roman" w:eastAsia="Times New Roman" w:hAnsi="Times New Roman" w:cs="Times New Roman"/>
                <w:sz w:val="24"/>
                <w:szCs w:val="24"/>
                <w:lang w:eastAsia="ru-RU"/>
              </w:rPr>
              <w:t>Могилів-Поділ</w:t>
            </w:r>
            <w:r w:rsidRPr="00E210AB">
              <w:rPr>
                <w:rFonts w:ascii="Times New Roman" w:eastAsia="Times New Roman" w:hAnsi="Times New Roman" w:cs="Times New Roman"/>
                <w:sz w:val="24"/>
                <w:szCs w:val="24"/>
                <w:lang w:eastAsia="ru-RU"/>
              </w:rPr>
              <w:t>ьського району).</w:t>
            </w:r>
          </w:p>
          <w:p w:rsidR="00E210AB" w:rsidRPr="00E210AB" w:rsidRDefault="00E210AB" w:rsidP="0057566C">
            <w:pPr>
              <w:ind w:firstLine="317"/>
              <w:jc w:val="both"/>
              <w:rPr>
                <w:rFonts w:ascii="Times New Roman" w:eastAsia="Times New Roman" w:hAnsi="Times New Roman" w:cs="Times New Roman"/>
                <w:bCs/>
                <w:sz w:val="24"/>
                <w:szCs w:val="24"/>
                <w:lang w:eastAsia="ru-RU"/>
              </w:rPr>
            </w:pPr>
            <w:r w:rsidRPr="00E210AB">
              <w:rPr>
                <w:rFonts w:ascii="Times New Roman" w:eastAsia="Times New Roman" w:hAnsi="Times New Roman" w:cs="Times New Roman"/>
                <w:bCs/>
                <w:sz w:val="24"/>
                <w:szCs w:val="24"/>
                <w:lang w:eastAsia="ru-RU"/>
              </w:rPr>
              <w:t>У 2020 році діяльність галузі культури забезпечували 6900 працівник</w:t>
            </w:r>
            <w:r w:rsidRPr="0072723E">
              <w:rPr>
                <w:rFonts w:ascii="Times New Roman" w:eastAsia="Times New Roman" w:hAnsi="Times New Roman" w:cs="Times New Roman"/>
                <w:bCs/>
                <w:sz w:val="24"/>
                <w:szCs w:val="24"/>
                <w:lang w:eastAsia="ru-RU"/>
              </w:rPr>
              <w:t>и</w:t>
            </w:r>
            <w:r w:rsidRPr="00E210AB">
              <w:rPr>
                <w:rFonts w:ascii="Times New Roman" w:eastAsia="Times New Roman" w:hAnsi="Times New Roman" w:cs="Times New Roman"/>
                <w:bCs/>
                <w:sz w:val="24"/>
                <w:szCs w:val="24"/>
                <w:lang w:eastAsia="ru-RU"/>
              </w:rPr>
              <w:t xml:space="preserve">, з яких 2098 </w:t>
            </w:r>
            <w:r w:rsidRPr="00E210AB">
              <w:rPr>
                <w:rFonts w:ascii="Times New Roman" w:eastAsia="Times New Roman" w:hAnsi="Times New Roman" w:cs="Times New Roman"/>
                <w:bCs/>
                <w:sz w:val="24"/>
                <w:szCs w:val="24"/>
                <w:lang w:eastAsia="ru-RU"/>
              </w:rPr>
              <w:lastRenderedPageBreak/>
              <w:t>працюють у сільській місцевості. В об’єднаних територіальних громадах працюють 1767 працівників, з них 1480 спеціалістів галузі культури.</w:t>
            </w:r>
          </w:p>
          <w:p w:rsidR="00E210AB" w:rsidRPr="00E210AB" w:rsidRDefault="00E210AB" w:rsidP="0057566C">
            <w:pPr>
              <w:ind w:firstLine="317"/>
              <w:jc w:val="both"/>
              <w:rPr>
                <w:rFonts w:ascii="Times New Roman" w:eastAsia="Times New Roman" w:hAnsi="Times New Roman" w:cs="Times New Roman"/>
                <w:bCs/>
                <w:sz w:val="24"/>
                <w:szCs w:val="24"/>
                <w:lang w:eastAsia="ru-RU"/>
              </w:rPr>
            </w:pPr>
            <w:r w:rsidRPr="00E210AB">
              <w:rPr>
                <w:rFonts w:ascii="Times New Roman" w:eastAsia="Times New Roman" w:hAnsi="Times New Roman" w:cs="Times New Roman"/>
                <w:bCs/>
                <w:sz w:val="24"/>
                <w:szCs w:val="24"/>
                <w:lang w:eastAsia="ru-RU"/>
              </w:rPr>
              <w:t xml:space="preserve">Бібліотечні фонди у 2020 році поповнено на 185,7 тис. документів, на суму 8510,1 тис. грн. Оснащено комп’ютерним обладнанням 466 бібліотеки (в тому числі 369 на селі), 365 з них використовують ресурс Інтернету для надання послуг із бібліотечно-інформаційного обслуговування користувачів, у тому числі – 268 у сільській місцевості. </w:t>
            </w:r>
          </w:p>
          <w:p w:rsidR="00E210AB" w:rsidRPr="00E210AB" w:rsidRDefault="00E210AB" w:rsidP="0057566C">
            <w:pPr>
              <w:ind w:firstLine="317"/>
              <w:jc w:val="both"/>
              <w:rPr>
                <w:rFonts w:ascii="Times New Roman" w:eastAsia="Calibri" w:hAnsi="Times New Roman" w:cs="Times New Roman"/>
                <w:bCs/>
                <w:sz w:val="24"/>
                <w:szCs w:val="24"/>
                <w:lang w:eastAsia="ru-RU"/>
              </w:rPr>
            </w:pPr>
            <w:r w:rsidRPr="00E210AB">
              <w:rPr>
                <w:rFonts w:ascii="Times New Roman" w:eastAsia="Calibri" w:hAnsi="Times New Roman" w:cs="Times New Roman"/>
                <w:bCs/>
                <w:sz w:val="24"/>
                <w:szCs w:val="24"/>
                <w:lang w:eastAsia="ru-RU"/>
              </w:rPr>
              <w:t>З метою</w:t>
            </w:r>
            <w:r w:rsidRPr="00E210AB">
              <w:rPr>
                <w:rFonts w:ascii="Times New Roman" w:eastAsia="Calibri" w:hAnsi="Times New Roman" w:cs="Times New Roman"/>
                <w:bCs/>
                <w:kern w:val="24"/>
                <w:sz w:val="24"/>
                <w:szCs w:val="24"/>
                <w:lang w:eastAsia="uk-UA"/>
              </w:rPr>
              <w:t xml:space="preserve"> с</w:t>
            </w:r>
            <w:r w:rsidRPr="00E210AB">
              <w:rPr>
                <w:rFonts w:ascii="Times New Roman" w:eastAsia="Calibri" w:hAnsi="Times New Roman" w:cs="Times New Roman"/>
                <w:bCs/>
                <w:sz w:val="24"/>
                <w:szCs w:val="24"/>
                <w:lang w:eastAsia="ru-RU"/>
              </w:rPr>
              <w:t xml:space="preserve">творення комфортного бібліотечного простору для всіх категорій користувачів </w:t>
            </w:r>
            <w:r w:rsidRPr="00E210AB">
              <w:rPr>
                <w:rFonts w:ascii="Times New Roman" w:eastAsia="Times New Roman" w:hAnsi="Times New Roman" w:cs="Times New Roman"/>
                <w:bCs/>
                <w:sz w:val="24"/>
                <w:szCs w:val="24"/>
                <w:lang w:eastAsia="ru-RU"/>
              </w:rPr>
              <w:t xml:space="preserve">у сільській місцевості Вінницького району </w:t>
            </w:r>
            <w:r w:rsidRPr="00E210AB">
              <w:rPr>
                <w:rFonts w:ascii="Times New Roman" w:eastAsia="Calibri" w:hAnsi="Times New Roman" w:cs="Times New Roman"/>
                <w:bCs/>
                <w:sz w:val="24"/>
                <w:szCs w:val="24"/>
                <w:lang w:eastAsia="ru-RU"/>
              </w:rPr>
              <w:t>вже третій рік працює мобільний бібліотечний комплекс «Бібліобус», яким обслуговано у 2020 році – 502 сільських користувачів (2019 році – 403).</w:t>
            </w:r>
          </w:p>
          <w:p w:rsidR="00E210AB" w:rsidRPr="00E210AB" w:rsidRDefault="00E210AB" w:rsidP="0057566C">
            <w:pPr>
              <w:ind w:firstLine="317"/>
              <w:jc w:val="both"/>
              <w:rPr>
                <w:rFonts w:ascii="Times New Roman" w:eastAsia="Times New Roman" w:hAnsi="Times New Roman" w:cs="Times New Roman"/>
                <w:sz w:val="24"/>
                <w:szCs w:val="24"/>
                <w:lang w:eastAsia="ru-RU"/>
              </w:rPr>
            </w:pPr>
            <w:r w:rsidRPr="00E210AB">
              <w:rPr>
                <w:rFonts w:ascii="Times New Roman" w:eastAsia="Times New Roman" w:hAnsi="Times New Roman" w:cs="Times New Roman"/>
                <w:bCs/>
                <w:sz w:val="24"/>
                <w:szCs w:val="24"/>
                <w:lang w:eastAsia="ru-RU"/>
              </w:rPr>
              <w:t xml:space="preserve">Протягом звітного періоду проведено більше 90 культурно-мистецьких заходів, 50 з яких у режимі онлайн. </w:t>
            </w:r>
          </w:p>
          <w:p w:rsidR="00E210AB" w:rsidRPr="00E210AB" w:rsidRDefault="00E210AB" w:rsidP="0057566C">
            <w:pPr>
              <w:ind w:right="57" w:firstLine="317"/>
              <w:jc w:val="both"/>
              <w:rPr>
                <w:rFonts w:ascii="Times New Roman" w:eastAsia="Times New Roman" w:hAnsi="Times New Roman" w:cs="Times New Roman"/>
                <w:bCs/>
                <w:sz w:val="24"/>
                <w:szCs w:val="24"/>
                <w:lang w:eastAsia="ru-RU"/>
              </w:rPr>
            </w:pPr>
            <w:r w:rsidRPr="00E210AB">
              <w:rPr>
                <w:rFonts w:ascii="Times New Roman" w:eastAsia="Times New Roman" w:hAnsi="Times New Roman" w:cs="Times New Roman"/>
                <w:bCs/>
                <w:sz w:val="24"/>
                <w:szCs w:val="24"/>
                <w:lang w:eastAsia="ru-RU"/>
              </w:rPr>
              <w:t>Станом на 01.01.2021 року в сільській місцевості області функціонувало 985 закладів клубного типу, в яких культурно-розважальну діяльність організовувало</w:t>
            </w:r>
            <w:r w:rsidR="00C43941">
              <w:rPr>
                <w:rFonts w:ascii="Times New Roman" w:eastAsia="Times New Roman" w:hAnsi="Times New Roman" w:cs="Times New Roman"/>
                <w:bCs/>
                <w:sz w:val="24"/>
                <w:szCs w:val="24"/>
                <w:lang w:eastAsia="ru-RU"/>
              </w:rPr>
              <w:t xml:space="preserve"> </w:t>
            </w:r>
            <w:r w:rsidRPr="00E210AB">
              <w:rPr>
                <w:rFonts w:ascii="Times New Roman" w:eastAsia="Times New Roman" w:hAnsi="Times New Roman" w:cs="Times New Roman"/>
                <w:bCs/>
                <w:sz w:val="24"/>
                <w:szCs w:val="24"/>
                <w:lang w:eastAsia="ru-RU"/>
              </w:rPr>
              <w:t xml:space="preserve">220 народних (зразкових) аматорських колективів. </w:t>
            </w:r>
          </w:p>
          <w:p w:rsidR="00E210AB" w:rsidRPr="00E210AB" w:rsidRDefault="00E210AB" w:rsidP="0057566C">
            <w:pPr>
              <w:ind w:right="57" w:firstLine="317"/>
              <w:jc w:val="both"/>
              <w:rPr>
                <w:rFonts w:ascii="Times New Roman" w:eastAsia="Times New Roman" w:hAnsi="Times New Roman" w:cs="Times New Roman"/>
                <w:color w:val="121212"/>
                <w:sz w:val="24"/>
                <w:szCs w:val="24"/>
                <w:shd w:val="clear" w:color="auto" w:fill="FFFFFF"/>
                <w:lang w:eastAsia="ru-RU"/>
              </w:rPr>
            </w:pPr>
            <w:r w:rsidRPr="00E210AB">
              <w:rPr>
                <w:rFonts w:ascii="Times New Roman" w:eastAsia="Times New Roman" w:hAnsi="Times New Roman" w:cs="Times New Roman"/>
                <w:sz w:val="24"/>
                <w:szCs w:val="24"/>
                <w:lang w:eastAsia="ru-RU"/>
              </w:rPr>
              <w:t>При клубних закладах на селі в 2020 році працювало більше 50 тис. клубних формувань та 2,5 тис. художників і майстрів мистецтв. Загальна кількість учасників формувань у сільській місцевості – 59 тис. осіб.</w:t>
            </w:r>
          </w:p>
          <w:p w:rsidR="00E210AB" w:rsidRPr="00E210AB" w:rsidRDefault="00E210AB" w:rsidP="0057566C">
            <w:pPr>
              <w:ind w:right="57" w:firstLine="317"/>
              <w:jc w:val="both"/>
              <w:rPr>
                <w:rFonts w:ascii="Times New Roman" w:eastAsia="Times New Roman" w:hAnsi="Times New Roman" w:cs="Times New Roman"/>
                <w:sz w:val="24"/>
                <w:szCs w:val="24"/>
                <w:lang w:eastAsia="ru-RU"/>
              </w:rPr>
            </w:pPr>
            <w:r w:rsidRPr="00E210AB">
              <w:rPr>
                <w:rFonts w:ascii="Times New Roman" w:eastAsia="Times New Roman" w:hAnsi="Times New Roman" w:cs="Times New Roman"/>
                <w:sz w:val="24"/>
                <w:szCs w:val="24"/>
                <w:lang w:eastAsia="ru-RU"/>
              </w:rPr>
              <w:t>За результатами обласного конкурсу</w:t>
            </w:r>
            <w:r w:rsidRPr="00E210AB">
              <w:rPr>
                <w:rFonts w:ascii="Times New Roman" w:eastAsia="Times New Roman" w:hAnsi="Times New Roman" w:cs="Times New Roman"/>
                <w:bCs/>
                <w:sz w:val="24"/>
                <w:szCs w:val="24"/>
                <w:lang w:eastAsia="ru-RU"/>
              </w:rPr>
              <w:t xml:space="preserve"> «Кращий заклад культури області» </w:t>
            </w:r>
            <w:r w:rsidRPr="00E210AB">
              <w:rPr>
                <w:rFonts w:ascii="Times New Roman" w:eastAsia="Times New Roman" w:hAnsi="Times New Roman" w:cs="Times New Roman"/>
                <w:bCs/>
                <w:sz w:val="24"/>
                <w:szCs w:val="24"/>
                <w:lang w:val="en-US" w:eastAsia="ru-RU"/>
              </w:rPr>
              <w:t>I</w:t>
            </w:r>
            <w:proofErr w:type="spellStart"/>
            <w:r w:rsidRPr="00E210AB">
              <w:rPr>
                <w:rFonts w:ascii="Times New Roman" w:eastAsia="Times New Roman" w:hAnsi="Times New Roman" w:cs="Times New Roman"/>
                <w:bCs/>
                <w:sz w:val="24"/>
                <w:szCs w:val="24"/>
                <w:lang w:eastAsia="ru-RU"/>
              </w:rPr>
              <w:t>-місце</w:t>
            </w:r>
            <w:proofErr w:type="spellEnd"/>
            <w:r w:rsidR="00C43941">
              <w:rPr>
                <w:rFonts w:ascii="Times New Roman" w:eastAsia="Times New Roman" w:hAnsi="Times New Roman" w:cs="Times New Roman"/>
                <w:bCs/>
                <w:sz w:val="24"/>
                <w:szCs w:val="24"/>
                <w:lang w:eastAsia="ru-RU"/>
              </w:rPr>
              <w:t xml:space="preserve"> </w:t>
            </w:r>
            <w:r w:rsidRPr="00E210AB">
              <w:rPr>
                <w:rFonts w:ascii="Times New Roman" w:eastAsia="Times New Roman" w:hAnsi="Times New Roman" w:cs="Times New Roman"/>
                <w:bCs/>
                <w:sz w:val="24"/>
                <w:szCs w:val="24"/>
                <w:lang w:eastAsia="ru-RU"/>
              </w:rPr>
              <w:t xml:space="preserve">здобув </w:t>
            </w:r>
            <w:proofErr w:type="spellStart"/>
            <w:r w:rsidRPr="00E210AB">
              <w:rPr>
                <w:rFonts w:ascii="Times New Roman" w:eastAsia="Times New Roman" w:hAnsi="Times New Roman" w:cs="Times New Roman"/>
                <w:sz w:val="24"/>
                <w:szCs w:val="24"/>
                <w:lang w:eastAsia="ru-RU"/>
              </w:rPr>
              <w:t>Баланівський</w:t>
            </w:r>
            <w:proofErr w:type="spellEnd"/>
            <w:r w:rsidRPr="00E210AB">
              <w:rPr>
                <w:rFonts w:ascii="Times New Roman" w:eastAsia="Times New Roman" w:hAnsi="Times New Roman" w:cs="Times New Roman"/>
                <w:sz w:val="24"/>
                <w:szCs w:val="24"/>
                <w:lang w:eastAsia="ru-RU"/>
              </w:rPr>
              <w:t xml:space="preserve"> сільський будинок культури </w:t>
            </w:r>
            <w:r w:rsidR="00C43941">
              <w:rPr>
                <w:rFonts w:ascii="Times New Roman" w:eastAsia="Times New Roman" w:hAnsi="Times New Roman" w:cs="Times New Roman"/>
                <w:sz w:val="24"/>
                <w:szCs w:val="24"/>
                <w:lang w:eastAsia="ru-RU"/>
              </w:rPr>
              <w:t>Гайсин</w:t>
            </w:r>
            <w:r w:rsidRPr="00E210AB">
              <w:rPr>
                <w:rFonts w:ascii="Times New Roman" w:eastAsia="Times New Roman" w:hAnsi="Times New Roman" w:cs="Times New Roman"/>
                <w:sz w:val="24"/>
                <w:szCs w:val="24"/>
                <w:lang w:eastAsia="ru-RU"/>
              </w:rPr>
              <w:t xml:space="preserve">ського району. </w:t>
            </w:r>
          </w:p>
          <w:p w:rsidR="00E210AB" w:rsidRPr="00E210AB" w:rsidRDefault="00173CB8" w:rsidP="0057566C">
            <w:pPr>
              <w:ind w:right="57" w:firstLine="317"/>
              <w:jc w:val="both"/>
              <w:rPr>
                <w:rFonts w:ascii="Times New Roman" w:eastAsia="Times New Roman" w:hAnsi="Times New Roman" w:cs="Times New Roman"/>
                <w:bCs/>
                <w:sz w:val="24"/>
                <w:szCs w:val="24"/>
                <w:lang w:eastAsia="ru-RU"/>
              </w:rPr>
            </w:pPr>
            <w:r w:rsidRPr="0072723E">
              <w:rPr>
                <w:rFonts w:ascii="Times New Roman" w:eastAsia="Arial Unicode MS" w:hAnsi="Times New Roman" w:cs="Times New Roman"/>
                <w:sz w:val="24"/>
                <w:szCs w:val="24"/>
                <w:lang w:eastAsia="ru-RU"/>
              </w:rPr>
              <w:t>К</w:t>
            </w:r>
            <w:r w:rsidR="00E210AB" w:rsidRPr="00E210AB">
              <w:rPr>
                <w:rFonts w:ascii="Times New Roman" w:eastAsia="Arial Unicode MS" w:hAnsi="Times New Roman" w:cs="Times New Roman"/>
                <w:sz w:val="24"/>
                <w:szCs w:val="24"/>
                <w:lang w:eastAsia="ru-RU"/>
              </w:rPr>
              <w:t>олективи обласних мистецьких закладів презентували у сільській місцевості області кращі культурно-мистецькі програми та вистави, а саме: обласною філармонією ім. М.Д.Леонтовича проведено 13 концертів (близько 4,8 тис. глядачів), академічним театром ляльок було проведено виставу в с. Лука-Мелешківська (93 глядача). Окрім цього, т</w:t>
            </w:r>
            <w:r w:rsidR="00E210AB" w:rsidRPr="00E210AB">
              <w:rPr>
                <w:rFonts w:ascii="Times New Roman" w:eastAsia="Times New Roman" w:hAnsi="Times New Roman" w:cs="Times New Roman"/>
                <w:bCs/>
                <w:sz w:val="24"/>
                <w:szCs w:val="24"/>
                <w:lang w:eastAsia="ru-RU"/>
              </w:rPr>
              <w:t>ворчий колектив театру ляльок представив 3 безкоштовних вистави для 180 дітей пільгових категорій із сільської місцевості.</w:t>
            </w:r>
          </w:p>
          <w:p w:rsidR="00E210AB" w:rsidRPr="00E210AB" w:rsidRDefault="00E210AB" w:rsidP="0057566C">
            <w:pPr>
              <w:ind w:firstLine="317"/>
              <w:jc w:val="both"/>
              <w:rPr>
                <w:rFonts w:ascii="Times New Roman" w:eastAsia="Times New Roman" w:hAnsi="Times New Roman" w:cs="Times New Roman"/>
                <w:bCs/>
                <w:sz w:val="24"/>
                <w:szCs w:val="24"/>
                <w:lang w:eastAsia="ru-RU"/>
              </w:rPr>
            </w:pPr>
            <w:r w:rsidRPr="00E210AB">
              <w:rPr>
                <w:rFonts w:ascii="Times New Roman" w:eastAsia="Times New Roman" w:hAnsi="Times New Roman" w:cs="Times New Roman"/>
                <w:sz w:val="24"/>
                <w:szCs w:val="24"/>
                <w:lang w:eastAsia="ru-RU"/>
              </w:rPr>
              <w:t xml:space="preserve">У 2020 році через призупинення проведення культурно-мистецьких заходів під час пандемії було створено ФБ сторінку «Культура Вінниччини» та афішу «#культура_онлайн», що стали основною платформою онлайн інформації про культурно-мистецьке життя в області. </w:t>
            </w:r>
            <w:r w:rsidRPr="00E210AB">
              <w:rPr>
                <w:rFonts w:ascii="Times New Roman" w:eastAsia="Times New Roman" w:hAnsi="Times New Roman" w:cs="Times New Roman"/>
                <w:bCs/>
                <w:sz w:val="24"/>
                <w:szCs w:val="24"/>
                <w:lang w:eastAsia="ru-RU"/>
              </w:rPr>
              <w:t xml:space="preserve">Зокрема, на власних сторінках у соціальних мережах обласним академічним театром ляльок презентовано 12 онлайн вистав, обласним музично-драматичним театром презентовано 33 вистави, обласною філармонією ім. М.Д. Леонтовича відповідно розміщено 95 публікацій концертних (мистецьких) програм, які переглянули близько 86 тисяч глядачів, окрім цього на </w:t>
            </w:r>
            <w:r w:rsidRPr="00E210AB">
              <w:rPr>
                <w:rFonts w:ascii="Times New Roman" w:eastAsia="Times New Roman" w:hAnsi="Times New Roman" w:cs="Times New Roman"/>
                <w:bCs/>
                <w:sz w:val="24"/>
                <w:szCs w:val="24"/>
                <w:lang w:val="en-US" w:eastAsia="ru-RU"/>
              </w:rPr>
              <w:t>YouTube</w:t>
            </w:r>
            <w:r w:rsidRPr="00E210AB">
              <w:rPr>
                <w:rFonts w:ascii="Times New Roman" w:eastAsia="Times New Roman" w:hAnsi="Times New Roman" w:cs="Times New Roman"/>
                <w:bCs/>
                <w:sz w:val="24"/>
                <w:szCs w:val="24"/>
                <w:lang w:eastAsia="ru-RU"/>
              </w:rPr>
              <w:t xml:space="preserve"> каналі близько 20 тис. переглядів.</w:t>
            </w:r>
          </w:p>
          <w:p w:rsidR="00E210AB" w:rsidRPr="00E210AB" w:rsidRDefault="00E210AB" w:rsidP="0057566C">
            <w:pPr>
              <w:ind w:firstLine="317"/>
              <w:jc w:val="both"/>
              <w:rPr>
                <w:rFonts w:ascii="Times New Roman" w:eastAsia="Times New Roman" w:hAnsi="Times New Roman" w:cs="Times New Roman"/>
                <w:sz w:val="24"/>
                <w:szCs w:val="24"/>
                <w:lang w:eastAsia="ru-RU"/>
              </w:rPr>
            </w:pPr>
            <w:r w:rsidRPr="00E210AB">
              <w:rPr>
                <w:rFonts w:ascii="Times New Roman" w:eastAsia="Times New Roman" w:hAnsi="Times New Roman" w:cs="Times New Roman"/>
                <w:sz w:val="24"/>
                <w:szCs w:val="24"/>
                <w:lang w:eastAsia="ru-RU"/>
              </w:rPr>
              <w:t xml:space="preserve">За результатами моніторингу Уповноваженого Представника Верховної Ради України встановлено, що Управління культури і мистецтв Вінницької облдержадміністрації увійшло в трійку найкращих в Україні з висвітлення культурних </w:t>
            </w:r>
            <w:r w:rsidRPr="00E210AB">
              <w:rPr>
                <w:rFonts w:ascii="Times New Roman" w:eastAsia="Times New Roman" w:hAnsi="Times New Roman" w:cs="Times New Roman"/>
                <w:sz w:val="24"/>
                <w:szCs w:val="24"/>
                <w:lang w:eastAsia="ru-RU"/>
              </w:rPr>
              <w:lastRenderedPageBreak/>
              <w:t>онлайн-заходів для громадян в умовах карантину. Сторінка «Культура Вінниччини» щотижня має понад 1200 відвідувань онлайн-споживачів з майже усіх областей України, Німеччини, Польщі та усіх районів області.</w:t>
            </w:r>
          </w:p>
          <w:p w:rsidR="00E210AB" w:rsidRPr="00E210AB" w:rsidRDefault="00E210AB" w:rsidP="0057566C">
            <w:pPr>
              <w:ind w:firstLine="317"/>
              <w:jc w:val="both"/>
              <w:rPr>
                <w:rFonts w:ascii="Times New Roman" w:eastAsia="Times New Roman" w:hAnsi="Times New Roman" w:cs="Times New Roman"/>
                <w:sz w:val="24"/>
                <w:szCs w:val="24"/>
                <w:lang w:eastAsia="ru-RU"/>
              </w:rPr>
            </w:pPr>
            <w:r w:rsidRPr="00E210AB">
              <w:rPr>
                <w:rFonts w:ascii="Times New Roman" w:eastAsia="Times New Roman" w:hAnsi="Times New Roman" w:cs="Times New Roman"/>
                <w:sz w:val="24"/>
                <w:szCs w:val="24"/>
                <w:lang w:eastAsia="ru-RU"/>
              </w:rPr>
              <w:t>Уточнений план асигнувань галузі культури області станом на 01.01.2021 року складає 776146,4 тис. грн. В порівнянні з відповідним періодом минулого року він збільшився на 5,2% або на 38362 тис. грн. За 12 місяців 2020 року культурно-мистецькими та навчальними закладами освоєно бюджетних асигнувань на загальну суму 747410,6 тис. грн, що складає 96,3 % від запланованої річної суми асигнувань.</w:t>
            </w:r>
          </w:p>
          <w:p w:rsidR="00E210AB" w:rsidRPr="00E210AB" w:rsidRDefault="00173CB8" w:rsidP="0057566C">
            <w:pPr>
              <w:autoSpaceDE w:val="0"/>
              <w:autoSpaceDN w:val="0"/>
              <w:adjustRightInd w:val="0"/>
              <w:ind w:firstLine="317"/>
              <w:jc w:val="both"/>
              <w:rPr>
                <w:rFonts w:ascii="Times New Roman" w:eastAsia="Times New Roman" w:hAnsi="Times New Roman" w:cs="Times New Roman"/>
                <w:sz w:val="24"/>
                <w:szCs w:val="24"/>
                <w:lang w:eastAsia="uk-UA"/>
              </w:rPr>
            </w:pPr>
            <w:r w:rsidRPr="0072723E">
              <w:rPr>
                <w:rFonts w:ascii="Times New Roman" w:eastAsia="Times New Roman" w:hAnsi="Times New Roman" w:cs="Times New Roman"/>
                <w:sz w:val="24"/>
                <w:szCs w:val="24"/>
                <w:lang w:eastAsia="uk-UA"/>
              </w:rPr>
              <w:t>П</w:t>
            </w:r>
            <w:r w:rsidR="00E210AB" w:rsidRPr="00E210AB">
              <w:rPr>
                <w:rFonts w:ascii="Times New Roman" w:eastAsia="Times New Roman" w:hAnsi="Times New Roman" w:cs="Times New Roman"/>
                <w:sz w:val="24"/>
                <w:szCs w:val="24"/>
                <w:lang w:eastAsia="uk-UA"/>
              </w:rPr>
              <w:t>роведено капітальні і поточні ремонти на 302 об’єктах культури на загальну суму 59507,3 тис. грн.</w:t>
            </w:r>
          </w:p>
          <w:p w:rsidR="00E210AB" w:rsidRPr="00E210AB" w:rsidRDefault="00E210AB" w:rsidP="0057566C">
            <w:pPr>
              <w:ind w:firstLine="317"/>
              <w:jc w:val="both"/>
              <w:rPr>
                <w:rFonts w:ascii="Times New Roman" w:eastAsia="Times New Roman" w:hAnsi="Times New Roman" w:cs="Times New Roman"/>
                <w:sz w:val="24"/>
                <w:szCs w:val="24"/>
                <w:lang w:eastAsia="ru-RU"/>
              </w:rPr>
            </w:pPr>
            <w:r w:rsidRPr="00E210AB">
              <w:rPr>
                <w:rFonts w:ascii="Times New Roman" w:eastAsia="Times New Roman" w:hAnsi="Times New Roman" w:cs="Times New Roman"/>
                <w:sz w:val="24"/>
                <w:szCs w:val="24"/>
                <w:lang w:eastAsia="ru-RU"/>
              </w:rPr>
              <w:t xml:space="preserve">Оновлення матеріально-технічного стану відбувалось завдяки грантової діяльності. Впродовж року переможцями стали 13 грантових проектів, завдяки яким понад 10 млн. грн. інвестовано в галузь культури з Державного фонду регіонального розвитку і обласного бюджету. </w:t>
            </w:r>
          </w:p>
          <w:p w:rsidR="00E210AB" w:rsidRPr="0072723E" w:rsidRDefault="00E210AB" w:rsidP="0057566C">
            <w:pPr>
              <w:ind w:firstLine="317"/>
              <w:jc w:val="both"/>
              <w:rPr>
                <w:rFonts w:ascii="Times New Roman" w:hAnsi="Times New Roman" w:cs="Times New Roman"/>
                <w:sz w:val="24"/>
                <w:szCs w:val="24"/>
              </w:rPr>
            </w:pPr>
            <w:r w:rsidRPr="00E210AB">
              <w:rPr>
                <w:rFonts w:ascii="Times New Roman" w:eastAsia="Times New Roman" w:hAnsi="Times New Roman" w:cs="Times New Roman"/>
                <w:sz w:val="24"/>
                <w:szCs w:val="24"/>
                <w:lang w:eastAsia="ru-RU"/>
              </w:rPr>
              <w:t xml:space="preserve">На придбання музичних інструментів, звукопідсилювальної апаратури, аудіовізуальної техніки, сценічних костюмів використано понад 17875,2 тис. грн. </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lastRenderedPageBreak/>
              <w:t>8.</w:t>
            </w:r>
          </w:p>
        </w:tc>
        <w:tc>
          <w:tcPr>
            <w:tcW w:w="2552" w:type="dxa"/>
            <w:vMerge/>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r w:rsidRPr="0072723E">
              <w:rPr>
                <w:rFonts w:ascii="Times New Roman" w:hAnsi="Times New Roman" w:cs="Times New Roman"/>
                <w:color w:val="000000"/>
                <w:sz w:val="24"/>
                <w:szCs w:val="24"/>
                <w:shd w:val="clear" w:color="auto" w:fill="FFFFFF"/>
              </w:rPr>
              <w:t>Відновлення та модернізація інженерних мереж та водоочисних споруд, забезпечення сільського населення питною водою належної якості; підтримка утворення та діяльності сільських центрів з надання житлово-комунальних послуг та підвищення рівня надання таких послуг</w:t>
            </w:r>
          </w:p>
        </w:tc>
        <w:tc>
          <w:tcPr>
            <w:tcW w:w="9214" w:type="dxa"/>
          </w:tcPr>
          <w:p w:rsidR="00F30B3D" w:rsidRPr="00F30B3D" w:rsidRDefault="004E6750" w:rsidP="00F30B3D">
            <w:pPr>
              <w:shd w:val="clear" w:color="auto" w:fill="FFFFFF"/>
              <w:ind w:firstLine="567"/>
              <w:jc w:val="both"/>
              <w:rPr>
                <w:rFonts w:ascii="Times New Roman" w:hAnsi="Times New Roman" w:cs="Times New Roman"/>
                <w:bCs/>
                <w:iCs/>
                <w:sz w:val="24"/>
                <w:szCs w:val="24"/>
              </w:rPr>
            </w:pPr>
            <w:r w:rsidRPr="0072723E">
              <w:rPr>
                <w:rFonts w:ascii="Times New Roman" w:hAnsi="Times New Roman" w:cs="Times New Roman"/>
                <w:bCs/>
                <w:iCs/>
                <w:sz w:val="24"/>
                <w:szCs w:val="24"/>
              </w:rPr>
              <w:t>На виконання обласної програми «Питна вода» у 20</w:t>
            </w:r>
            <w:r w:rsidR="00D75C06" w:rsidRPr="0072723E">
              <w:rPr>
                <w:rFonts w:ascii="Times New Roman" w:hAnsi="Times New Roman" w:cs="Times New Roman"/>
                <w:bCs/>
                <w:iCs/>
                <w:sz w:val="24"/>
                <w:szCs w:val="24"/>
              </w:rPr>
              <w:t>20</w:t>
            </w:r>
            <w:r w:rsidRPr="0072723E">
              <w:rPr>
                <w:rFonts w:ascii="Times New Roman" w:hAnsi="Times New Roman" w:cs="Times New Roman"/>
                <w:bCs/>
                <w:iCs/>
                <w:sz w:val="24"/>
                <w:szCs w:val="24"/>
              </w:rPr>
              <w:t xml:space="preserve"> році було ви</w:t>
            </w:r>
            <w:r w:rsidR="00D75C06" w:rsidRPr="0072723E">
              <w:rPr>
                <w:rFonts w:ascii="Times New Roman" w:hAnsi="Times New Roman" w:cs="Times New Roman"/>
                <w:bCs/>
                <w:iCs/>
                <w:sz w:val="24"/>
                <w:szCs w:val="24"/>
              </w:rPr>
              <w:t>користано</w:t>
            </w:r>
            <w:r w:rsidRPr="0072723E">
              <w:rPr>
                <w:rFonts w:ascii="Times New Roman" w:hAnsi="Times New Roman" w:cs="Times New Roman"/>
                <w:bCs/>
                <w:iCs/>
                <w:sz w:val="24"/>
                <w:szCs w:val="24"/>
              </w:rPr>
              <w:t xml:space="preserve"> на будівництво та реконструкцію водопровідних мереж та споруд 2</w:t>
            </w:r>
            <w:r w:rsidR="00D75C06" w:rsidRPr="0072723E">
              <w:rPr>
                <w:rFonts w:ascii="Times New Roman" w:hAnsi="Times New Roman" w:cs="Times New Roman"/>
                <w:bCs/>
                <w:iCs/>
                <w:sz w:val="24"/>
                <w:szCs w:val="24"/>
              </w:rPr>
              <w:t>942,7 тис</w:t>
            </w:r>
            <w:r w:rsidRPr="0072723E">
              <w:rPr>
                <w:rFonts w:ascii="Times New Roman" w:hAnsi="Times New Roman" w:cs="Times New Roman"/>
                <w:bCs/>
                <w:iCs/>
                <w:sz w:val="24"/>
                <w:szCs w:val="24"/>
              </w:rPr>
              <w:t xml:space="preserve">. грн. </w:t>
            </w:r>
            <w:r w:rsidR="00C46B09">
              <w:rPr>
                <w:rFonts w:ascii="Times New Roman" w:hAnsi="Times New Roman" w:cs="Times New Roman"/>
                <w:bCs/>
                <w:iCs/>
                <w:sz w:val="24"/>
                <w:szCs w:val="24"/>
              </w:rPr>
              <w:t xml:space="preserve">Зокрема, реалізовано 2 </w:t>
            </w:r>
            <w:proofErr w:type="spellStart"/>
            <w:r w:rsidR="00C46B09">
              <w:rPr>
                <w:rFonts w:ascii="Times New Roman" w:hAnsi="Times New Roman" w:cs="Times New Roman"/>
                <w:bCs/>
                <w:iCs/>
                <w:sz w:val="24"/>
                <w:szCs w:val="24"/>
              </w:rPr>
              <w:t>проєкти</w:t>
            </w:r>
            <w:proofErr w:type="spellEnd"/>
            <w:r w:rsidR="00C46B09">
              <w:rPr>
                <w:rFonts w:ascii="Times New Roman" w:hAnsi="Times New Roman" w:cs="Times New Roman"/>
                <w:bCs/>
                <w:iCs/>
                <w:sz w:val="24"/>
                <w:szCs w:val="24"/>
              </w:rPr>
              <w:t xml:space="preserve"> по </w:t>
            </w:r>
            <w:r w:rsidR="00C46B09" w:rsidRPr="00C46B09">
              <w:rPr>
                <w:rFonts w:ascii="Times New Roman" w:hAnsi="Times New Roman" w:cs="Times New Roman"/>
                <w:bCs/>
                <w:iCs/>
                <w:sz w:val="24"/>
                <w:szCs w:val="24"/>
              </w:rPr>
              <w:t>будівництв</w:t>
            </w:r>
            <w:r w:rsidR="00C46B09">
              <w:rPr>
                <w:rFonts w:ascii="Times New Roman" w:hAnsi="Times New Roman" w:cs="Times New Roman"/>
                <w:bCs/>
                <w:iCs/>
                <w:sz w:val="24"/>
                <w:szCs w:val="24"/>
              </w:rPr>
              <w:t>у</w:t>
            </w:r>
            <w:r w:rsidR="00C46B09" w:rsidRPr="00C46B09">
              <w:rPr>
                <w:rFonts w:ascii="Times New Roman" w:hAnsi="Times New Roman" w:cs="Times New Roman"/>
                <w:bCs/>
                <w:iCs/>
                <w:sz w:val="24"/>
                <w:szCs w:val="24"/>
              </w:rPr>
              <w:t xml:space="preserve"> розподільчих мереж господарсько-питного водопроводу</w:t>
            </w:r>
            <w:r w:rsidR="00C46B09">
              <w:rPr>
                <w:rFonts w:ascii="Times New Roman" w:hAnsi="Times New Roman" w:cs="Times New Roman"/>
                <w:bCs/>
                <w:iCs/>
                <w:sz w:val="24"/>
                <w:szCs w:val="24"/>
              </w:rPr>
              <w:t xml:space="preserve">, загальна протяжність водопроводу 10,86 км, </w:t>
            </w:r>
            <w:proofErr w:type="spellStart"/>
            <w:r w:rsidR="00C46B09" w:rsidRPr="00C46B09">
              <w:rPr>
                <w:rFonts w:ascii="Times New Roman" w:hAnsi="Times New Roman" w:cs="Times New Roman"/>
                <w:bCs/>
                <w:iCs/>
                <w:sz w:val="24"/>
                <w:szCs w:val="24"/>
              </w:rPr>
              <w:t>підведено</w:t>
            </w:r>
            <w:proofErr w:type="spellEnd"/>
            <w:r w:rsidR="00C46B09" w:rsidRPr="00C46B09">
              <w:rPr>
                <w:rFonts w:ascii="Times New Roman" w:hAnsi="Times New Roman" w:cs="Times New Roman"/>
                <w:bCs/>
                <w:iCs/>
                <w:sz w:val="24"/>
                <w:szCs w:val="24"/>
              </w:rPr>
              <w:t xml:space="preserve"> воду до                        </w:t>
            </w:r>
            <w:r w:rsidR="00C46B09">
              <w:rPr>
                <w:rFonts w:ascii="Times New Roman" w:hAnsi="Times New Roman" w:cs="Times New Roman"/>
                <w:bCs/>
                <w:iCs/>
                <w:sz w:val="24"/>
                <w:szCs w:val="24"/>
              </w:rPr>
              <w:t>199</w:t>
            </w:r>
            <w:r w:rsidR="00C46B09" w:rsidRPr="00C46B09">
              <w:rPr>
                <w:rFonts w:ascii="Times New Roman" w:hAnsi="Times New Roman" w:cs="Times New Roman"/>
                <w:bCs/>
                <w:iCs/>
                <w:sz w:val="24"/>
                <w:szCs w:val="24"/>
              </w:rPr>
              <w:t xml:space="preserve"> домоволодіння</w:t>
            </w:r>
            <w:r w:rsidR="00C46B09">
              <w:rPr>
                <w:rFonts w:ascii="Times New Roman" w:hAnsi="Times New Roman" w:cs="Times New Roman"/>
                <w:bCs/>
                <w:iCs/>
                <w:sz w:val="24"/>
                <w:szCs w:val="24"/>
              </w:rPr>
              <w:t xml:space="preserve">. Продовжується реалізація проекту по </w:t>
            </w:r>
            <w:r w:rsidR="00C46B09" w:rsidRPr="00C46B09">
              <w:rPr>
                <w:rFonts w:ascii="Times New Roman" w:hAnsi="Times New Roman" w:cs="Times New Roman"/>
                <w:bCs/>
                <w:iCs/>
                <w:sz w:val="24"/>
                <w:szCs w:val="24"/>
              </w:rPr>
              <w:t>реконструкції мережі водопостачання</w:t>
            </w:r>
            <w:r w:rsidR="00F30B3D">
              <w:rPr>
                <w:rFonts w:ascii="Times New Roman" w:hAnsi="Times New Roman" w:cs="Times New Roman"/>
                <w:bCs/>
                <w:iCs/>
                <w:sz w:val="24"/>
                <w:szCs w:val="24"/>
              </w:rPr>
              <w:t xml:space="preserve">, яким </w:t>
            </w:r>
            <w:r w:rsidR="00F30B3D" w:rsidRPr="00F30B3D">
              <w:rPr>
                <w:rFonts w:ascii="Times New Roman" w:hAnsi="Times New Roman" w:cs="Times New Roman"/>
                <w:bCs/>
                <w:iCs/>
                <w:sz w:val="24"/>
                <w:szCs w:val="24"/>
              </w:rPr>
              <w:t>передбачено підключення водопроводу до існуючого каптажу, який підживлюється від існуючої артезіанської свердловини дебетом 5м.куб./год.</w:t>
            </w:r>
            <w:r w:rsidR="00F30B3D">
              <w:rPr>
                <w:rFonts w:ascii="Times New Roman" w:hAnsi="Times New Roman" w:cs="Times New Roman"/>
                <w:bCs/>
                <w:iCs/>
                <w:sz w:val="24"/>
                <w:szCs w:val="24"/>
              </w:rPr>
              <w:t xml:space="preserve"> та</w:t>
            </w:r>
            <w:r w:rsidR="00F30B3D" w:rsidRPr="00F30B3D">
              <w:rPr>
                <w:rFonts w:ascii="Times New Roman" w:hAnsi="Times New Roman" w:cs="Times New Roman"/>
                <w:bCs/>
                <w:iCs/>
                <w:sz w:val="24"/>
                <w:szCs w:val="24"/>
              </w:rPr>
              <w:t xml:space="preserve"> передбачена заміна існуючого насосу на глибинний насос </w:t>
            </w:r>
            <w:proofErr w:type="spellStart"/>
            <w:r w:rsidR="00F30B3D" w:rsidRPr="00F30B3D">
              <w:rPr>
                <w:rFonts w:ascii="Times New Roman" w:hAnsi="Times New Roman" w:cs="Times New Roman"/>
                <w:bCs/>
                <w:iCs/>
                <w:sz w:val="24"/>
                <w:szCs w:val="24"/>
              </w:rPr>
              <w:t>Sprut</w:t>
            </w:r>
            <w:proofErr w:type="spellEnd"/>
            <w:r w:rsidR="00F30B3D" w:rsidRPr="00F30B3D">
              <w:rPr>
                <w:rFonts w:ascii="Times New Roman" w:hAnsi="Times New Roman" w:cs="Times New Roman"/>
                <w:bCs/>
                <w:iCs/>
                <w:sz w:val="24"/>
                <w:szCs w:val="24"/>
              </w:rPr>
              <w:t xml:space="preserve"> марки 6SP17-26.</w:t>
            </w:r>
          </w:p>
          <w:p w:rsidR="004E6750" w:rsidRDefault="004E6750" w:rsidP="0057566C">
            <w:pPr>
              <w:ind w:firstLine="317"/>
              <w:jc w:val="both"/>
              <w:rPr>
                <w:rFonts w:ascii="Times New Roman" w:hAnsi="Times New Roman" w:cs="Times New Roman"/>
                <w:bCs/>
                <w:iCs/>
                <w:sz w:val="24"/>
                <w:szCs w:val="24"/>
              </w:rPr>
            </w:pPr>
          </w:p>
          <w:p w:rsidR="00C46B09" w:rsidRDefault="00C46B09" w:rsidP="0057566C">
            <w:pPr>
              <w:ind w:firstLine="317"/>
              <w:jc w:val="both"/>
              <w:rPr>
                <w:rFonts w:ascii="Times New Roman" w:hAnsi="Times New Roman" w:cs="Times New Roman"/>
                <w:bCs/>
                <w:iCs/>
                <w:sz w:val="24"/>
                <w:szCs w:val="24"/>
              </w:rPr>
            </w:pPr>
          </w:p>
          <w:p w:rsidR="00C46B09" w:rsidRPr="0072723E" w:rsidRDefault="00C46B09" w:rsidP="0057566C">
            <w:pPr>
              <w:ind w:firstLine="317"/>
              <w:jc w:val="both"/>
              <w:rPr>
                <w:rFonts w:ascii="Times New Roman" w:hAnsi="Times New Roman" w:cs="Times New Roman"/>
                <w:bCs/>
                <w:sz w:val="24"/>
                <w:szCs w:val="24"/>
              </w:rPr>
            </w:pP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12.</w:t>
            </w:r>
          </w:p>
        </w:tc>
        <w:tc>
          <w:tcPr>
            <w:tcW w:w="2552" w:type="dxa"/>
            <w:vMerge w:val="restart"/>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r w:rsidRPr="0072723E">
              <w:rPr>
                <w:rFonts w:ascii="Times New Roman" w:hAnsi="Times New Roman" w:cs="Times New Roman"/>
                <w:color w:val="000000"/>
                <w:sz w:val="24"/>
                <w:szCs w:val="24"/>
                <w:shd w:val="clear" w:color="auto" w:fill="FFFFFF"/>
              </w:rPr>
              <w:t>Охорона та збереження природних ресурсів в сільській місцевості</w:t>
            </w:r>
          </w:p>
        </w:tc>
        <w:tc>
          <w:tcPr>
            <w:tcW w:w="3260" w:type="dxa"/>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r w:rsidRPr="0072723E">
              <w:rPr>
                <w:rFonts w:ascii="Times New Roman" w:hAnsi="Times New Roman" w:cs="Times New Roman"/>
                <w:color w:val="000000"/>
                <w:sz w:val="24"/>
                <w:szCs w:val="24"/>
                <w:shd w:val="clear" w:color="auto" w:fill="FFFFFF"/>
              </w:rPr>
              <w:t>Створення нових та розширення існуючих територій і об’єктів природно-заповідного фонду</w:t>
            </w:r>
          </w:p>
        </w:tc>
        <w:tc>
          <w:tcPr>
            <w:tcW w:w="9214" w:type="dxa"/>
          </w:tcPr>
          <w:p w:rsidR="00D75C06" w:rsidRPr="00D75C06" w:rsidRDefault="00D75C06" w:rsidP="0057566C">
            <w:pPr>
              <w:ind w:firstLine="317"/>
              <w:jc w:val="both"/>
              <w:rPr>
                <w:rFonts w:ascii="Times New Roman" w:eastAsia="Calibri" w:hAnsi="Times New Roman" w:cs="Times New Roman"/>
                <w:sz w:val="24"/>
                <w:szCs w:val="24"/>
              </w:rPr>
            </w:pPr>
            <w:r w:rsidRPr="00D75C06">
              <w:rPr>
                <w:rFonts w:ascii="Times New Roman" w:eastAsia="Calibri" w:hAnsi="Times New Roman" w:cs="Times New Roman"/>
                <w:sz w:val="24"/>
                <w:szCs w:val="24"/>
              </w:rPr>
              <w:t xml:space="preserve">У 2020 році Вінницькою обласною Радою оголошено нові об'єкти природно-заповідного фонду – ландшафтні заказники місцевого значення: «Іваньківський» (орієнтовною площею </w:t>
            </w:r>
            <w:smartTag w:uri="urn:schemas-microsoft-com:office:smarttags" w:element="metricconverter">
              <w:smartTagPr>
                <w:attr w:name="ProductID" w:val="20 га"/>
              </w:smartTagPr>
              <w:r w:rsidRPr="00D75C06">
                <w:rPr>
                  <w:rFonts w:ascii="Times New Roman" w:eastAsia="Calibri" w:hAnsi="Times New Roman" w:cs="Times New Roman"/>
                  <w:sz w:val="24"/>
                  <w:szCs w:val="24"/>
                </w:rPr>
                <w:t>20 га</w:t>
              </w:r>
            </w:smartTag>
            <w:r w:rsidRPr="00D75C06">
              <w:rPr>
                <w:rFonts w:ascii="Times New Roman" w:eastAsia="Calibri" w:hAnsi="Times New Roman" w:cs="Times New Roman"/>
                <w:sz w:val="24"/>
                <w:szCs w:val="24"/>
              </w:rPr>
              <w:t>), «Скала» (</w:t>
            </w:r>
            <w:smartTag w:uri="urn:schemas-microsoft-com:office:smarttags" w:element="metricconverter">
              <w:smartTagPr>
                <w:attr w:name="ProductID" w:val="30 га"/>
              </w:smartTagPr>
              <w:r w:rsidRPr="00D75C06">
                <w:rPr>
                  <w:rFonts w:ascii="Times New Roman" w:eastAsia="Calibri" w:hAnsi="Times New Roman" w:cs="Times New Roman"/>
                  <w:sz w:val="24"/>
                  <w:szCs w:val="24"/>
                </w:rPr>
                <w:t>30 га</w:t>
              </w:r>
            </w:smartTag>
            <w:r w:rsidRPr="00D75C06">
              <w:rPr>
                <w:rFonts w:ascii="Times New Roman" w:eastAsia="Calibri" w:hAnsi="Times New Roman" w:cs="Times New Roman"/>
                <w:sz w:val="24"/>
                <w:szCs w:val="24"/>
              </w:rPr>
              <w:t>), «Широка Руда» (</w:t>
            </w:r>
            <w:smartTag w:uri="urn:schemas-microsoft-com:office:smarttags" w:element="metricconverter">
              <w:smartTagPr>
                <w:attr w:name="ProductID" w:val="33 га"/>
              </w:smartTagPr>
              <w:r w:rsidRPr="00D75C06">
                <w:rPr>
                  <w:rFonts w:ascii="Times New Roman" w:eastAsia="Calibri" w:hAnsi="Times New Roman" w:cs="Times New Roman"/>
                  <w:sz w:val="24"/>
                  <w:szCs w:val="24"/>
                </w:rPr>
                <w:t>33 га</w:t>
              </w:r>
            </w:smartTag>
            <w:r w:rsidRPr="00D75C06">
              <w:rPr>
                <w:rFonts w:ascii="Times New Roman" w:eastAsia="Calibri" w:hAnsi="Times New Roman" w:cs="Times New Roman"/>
                <w:sz w:val="24"/>
                <w:szCs w:val="24"/>
              </w:rPr>
              <w:t>). На</w:t>
            </w:r>
            <w:r w:rsidR="00402B16">
              <w:rPr>
                <w:rFonts w:ascii="Times New Roman" w:eastAsia="Calibri" w:hAnsi="Times New Roman" w:cs="Times New Roman"/>
                <w:sz w:val="24"/>
                <w:szCs w:val="24"/>
              </w:rPr>
              <w:t>раз</w:t>
            </w:r>
            <w:r w:rsidRPr="00D75C06">
              <w:rPr>
                <w:rFonts w:ascii="Times New Roman" w:eastAsia="Calibri" w:hAnsi="Times New Roman" w:cs="Times New Roman"/>
                <w:sz w:val="24"/>
                <w:szCs w:val="24"/>
              </w:rPr>
              <w:t>і</w:t>
            </w:r>
            <w:r w:rsidR="00402B16">
              <w:rPr>
                <w:rFonts w:ascii="Times New Roman" w:eastAsia="Calibri" w:hAnsi="Times New Roman" w:cs="Times New Roman"/>
                <w:sz w:val="24"/>
                <w:szCs w:val="24"/>
              </w:rPr>
              <w:t>,</w:t>
            </w:r>
            <w:r w:rsidRPr="00D75C06">
              <w:rPr>
                <w:rFonts w:ascii="Times New Roman" w:eastAsia="Calibri" w:hAnsi="Times New Roman" w:cs="Times New Roman"/>
                <w:sz w:val="24"/>
                <w:szCs w:val="24"/>
              </w:rPr>
              <w:t xml:space="preserve"> площа природно-заповідного фонду області складає 6,14 </w:t>
            </w:r>
            <w:proofErr w:type="spellStart"/>
            <w:r w:rsidRPr="00D75C06">
              <w:rPr>
                <w:rFonts w:ascii="Times New Roman" w:eastAsia="Calibri" w:hAnsi="Times New Roman" w:cs="Times New Roman"/>
                <w:sz w:val="24"/>
                <w:szCs w:val="24"/>
              </w:rPr>
              <w:t>тис.га</w:t>
            </w:r>
            <w:proofErr w:type="spellEnd"/>
            <w:r w:rsidRPr="00D75C06">
              <w:rPr>
                <w:rFonts w:ascii="Times New Roman" w:eastAsia="Calibri" w:hAnsi="Times New Roman" w:cs="Times New Roman"/>
                <w:sz w:val="24"/>
                <w:szCs w:val="24"/>
              </w:rPr>
              <w:t xml:space="preserve"> або 2,28 %</w:t>
            </w:r>
            <w:r w:rsidR="00402B16">
              <w:rPr>
                <w:rFonts w:ascii="Times New Roman" w:eastAsia="Calibri" w:hAnsi="Times New Roman" w:cs="Times New Roman"/>
                <w:sz w:val="24"/>
                <w:szCs w:val="24"/>
              </w:rPr>
              <w:t xml:space="preserve"> </w:t>
            </w:r>
            <w:r w:rsidRPr="00D75C06">
              <w:rPr>
                <w:rFonts w:ascii="Times New Roman" w:eastAsia="Calibri" w:hAnsi="Times New Roman" w:cs="Times New Roman"/>
                <w:sz w:val="24"/>
                <w:szCs w:val="24"/>
              </w:rPr>
              <w:t>від загальної земельної площі області.</w:t>
            </w:r>
          </w:p>
          <w:p w:rsidR="00D75C06" w:rsidRPr="00D75C06" w:rsidRDefault="00D75C06" w:rsidP="0057566C">
            <w:pPr>
              <w:ind w:firstLine="317"/>
              <w:jc w:val="both"/>
              <w:rPr>
                <w:rFonts w:ascii="Times New Roman" w:eastAsia="Calibri" w:hAnsi="Times New Roman" w:cs="Times New Roman"/>
                <w:sz w:val="24"/>
                <w:szCs w:val="24"/>
              </w:rPr>
            </w:pPr>
            <w:r w:rsidRPr="00D75C06">
              <w:rPr>
                <w:rFonts w:ascii="Times New Roman" w:eastAsia="Calibri" w:hAnsi="Times New Roman" w:cs="Times New Roman"/>
                <w:sz w:val="24"/>
                <w:szCs w:val="24"/>
              </w:rPr>
              <w:t>В області налічується 430 об’єктів природно-заповідного фонду (43 загальнодержавного значення, з них 1 національний природний парк та 387 місцевого значення, з них 4 регіональних ландшафтних парки).</w:t>
            </w:r>
          </w:p>
          <w:p w:rsidR="00D75C06" w:rsidRPr="00D75C06" w:rsidRDefault="00D75C06" w:rsidP="0057566C">
            <w:pPr>
              <w:ind w:firstLine="317"/>
              <w:jc w:val="both"/>
              <w:rPr>
                <w:rFonts w:ascii="Times New Roman" w:eastAsia="Calibri" w:hAnsi="Times New Roman" w:cs="Times New Roman"/>
                <w:sz w:val="24"/>
                <w:szCs w:val="24"/>
              </w:rPr>
            </w:pPr>
            <w:r w:rsidRPr="00D75C06">
              <w:rPr>
                <w:rFonts w:ascii="Times New Roman" w:eastAsia="Calibri" w:hAnsi="Times New Roman" w:cs="Times New Roman"/>
                <w:color w:val="000000"/>
                <w:sz w:val="24"/>
                <w:szCs w:val="24"/>
              </w:rPr>
              <w:t xml:space="preserve">На території області налічується 11 об’єктів Смарагдової мережі площею </w:t>
            </w:r>
            <w:smartTag w:uri="urn:schemas-microsoft-com:office:smarttags" w:element="metricconverter">
              <w:smartTagPr>
                <w:attr w:name="ProductID" w:val="191322 га"/>
              </w:smartTagPr>
              <w:r w:rsidRPr="00D75C06">
                <w:rPr>
                  <w:rFonts w:ascii="Times New Roman" w:eastAsia="Calibri" w:hAnsi="Times New Roman" w:cs="Times New Roman"/>
                  <w:color w:val="000000"/>
                  <w:sz w:val="24"/>
                  <w:szCs w:val="24"/>
                </w:rPr>
                <w:t>191322 га</w:t>
              </w:r>
            </w:smartTag>
            <w:r w:rsidRPr="00D75C06">
              <w:rPr>
                <w:rFonts w:ascii="Times New Roman" w:eastAsia="Calibri" w:hAnsi="Times New Roman" w:cs="Times New Roman"/>
                <w:color w:val="000000"/>
                <w:sz w:val="24"/>
                <w:szCs w:val="24"/>
              </w:rPr>
              <w:t xml:space="preserve"> та одне водно-болотне угіддя міжнародного значення площею </w:t>
            </w:r>
            <w:smartTag w:uri="urn:schemas-microsoft-com:office:smarttags" w:element="metricconverter">
              <w:smartTagPr>
                <w:attr w:name="ProductID" w:val="5394,28 га"/>
              </w:smartTagPr>
              <w:r w:rsidRPr="00D75C06">
                <w:rPr>
                  <w:rFonts w:ascii="Times New Roman" w:eastAsia="Calibri" w:hAnsi="Times New Roman" w:cs="Times New Roman"/>
                  <w:color w:val="000000"/>
                  <w:sz w:val="24"/>
                  <w:szCs w:val="24"/>
                </w:rPr>
                <w:t>5394,28 га</w:t>
              </w:r>
            </w:smartTag>
            <w:r w:rsidRPr="00D75C06">
              <w:rPr>
                <w:rFonts w:ascii="Times New Roman" w:eastAsia="Calibri" w:hAnsi="Times New Roman" w:cs="Times New Roman"/>
                <w:color w:val="000000"/>
                <w:sz w:val="24"/>
                <w:szCs w:val="24"/>
              </w:rPr>
              <w:t>.</w:t>
            </w:r>
          </w:p>
          <w:p w:rsidR="00D75C06" w:rsidRPr="0072723E" w:rsidRDefault="00D75C06" w:rsidP="0057566C">
            <w:pPr>
              <w:ind w:firstLine="317"/>
              <w:jc w:val="both"/>
              <w:rPr>
                <w:rFonts w:ascii="Times New Roman" w:hAnsi="Times New Roman" w:cs="Times New Roman"/>
                <w:sz w:val="24"/>
                <w:szCs w:val="24"/>
              </w:rPr>
            </w:pPr>
            <w:r w:rsidRPr="00D75C06">
              <w:rPr>
                <w:rFonts w:ascii="Times New Roman" w:eastAsia="Calibri" w:hAnsi="Times New Roman" w:cs="Times New Roman"/>
                <w:sz w:val="24"/>
                <w:szCs w:val="24"/>
              </w:rPr>
              <w:t xml:space="preserve">Міністерство захисту довкілля та природних ресурсів України на основі матеріалів, підготовлених фахівцями Вінницької області, проводить роботи із створення </w:t>
            </w:r>
            <w:r w:rsidRPr="00D75C06">
              <w:rPr>
                <w:rFonts w:ascii="Times New Roman" w:eastAsia="Calibri" w:hAnsi="Times New Roman" w:cs="Times New Roman"/>
                <w:sz w:val="24"/>
                <w:szCs w:val="24"/>
              </w:rPr>
              <w:lastRenderedPageBreak/>
              <w:t xml:space="preserve">національного природного парку «Центральне Поділля». Створення НПП дозволить збільшити площу природно-заповідного фонду орієнтовно на 40 тис. га. </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lastRenderedPageBreak/>
              <w:t>14.</w:t>
            </w:r>
          </w:p>
        </w:tc>
        <w:tc>
          <w:tcPr>
            <w:tcW w:w="2552" w:type="dxa"/>
            <w:vMerge/>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r w:rsidRPr="0072723E">
              <w:rPr>
                <w:rFonts w:ascii="Times New Roman" w:hAnsi="Times New Roman" w:cs="Times New Roman"/>
                <w:color w:val="000000"/>
                <w:sz w:val="24"/>
                <w:szCs w:val="24"/>
                <w:shd w:val="clear" w:color="auto" w:fill="FFFFFF"/>
              </w:rPr>
              <w:t>Спрощення умов раціонального використання рекреаційних ресурсів територій та об’єктів природно-заповідного фонду для формування економічного середовища та розвитку сфери зайнятості населення в регіонах</w:t>
            </w:r>
          </w:p>
        </w:tc>
        <w:tc>
          <w:tcPr>
            <w:tcW w:w="9214" w:type="dxa"/>
          </w:tcPr>
          <w:p w:rsidR="004E6750" w:rsidRPr="0072723E" w:rsidRDefault="004E6750" w:rsidP="0057566C">
            <w:pPr>
              <w:ind w:firstLine="317"/>
              <w:jc w:val="both"/>
              <w:rPr>
                <w:rFonts w:ascii="Times New Roman" w:hAnsi="Times New Roman" w:cs="Times New Roman"/>
                <w:sz w:val="24"/>
                <w:szCs w:val="24"/>
              </w:rPr>
            </w:pPr>
            <w:r w:rsidRPr="0072723E">
              <w:rPr>
                <w:rFonts w:ascii="Times New Roman" w:hAnsi="Times New Roman" w:cs="Times New Roman"/>
                <w:sz w:val="24"/>
                <w:szCs w:val="24"/>
              </w:rPr>
              <w:t>В області зареєстровано 30 садиб, які надають послуги у сфері сільського зеленого туризму, з них 9 розташовані у межах або поблизу об’єктів природно-заповідного фонду.</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15.</w:t>
            </w:r>
          </w:p>
        </w:tc>
        <w:tc>
          <w:tcPr>
            <w:tcW w:w="2552" w:type="dxa"/>
            <w:vMerge/>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color w:val="000000"/>
                <w:sz w:val="24"/>
                <w:szCs w:val="24"/>
                <w:shd w:val="clear" w:color="auto" w:fill="FFFFFF"/>
              </w:rPr>
            </w:pPr>
            <w:r w:rsidRPr="0072723E">
              <w:rPr>
                <w:rFonts w:ascii="Times New Roman" w:hAnsi="Times New Roman" w:cs="Times New Roman"/>
                <w:color w:val="000000"/>
                <w:sz w:val="24"/>
                <w:szCs w:val="24"/>
                <w:shd w:val="clear" w:color="auto" w:fill="FFFFFF"/>
              </w:rPr>
              <w:t>Створення та функціонування музеїв природи, музейних кімнат, екоосвітніх центрів, еколого-освітніх класів, еколого-освітніх стежок на територіях та об’єктах природно-заповідного фонду</w:t>
            </w:r>
          </w:p>
        </w:tc>
        <w:tc>
          <w:tcPr>
            <w:tcW w:w="9214" w:type="dxa"/>
          </w:tcPr>
          <w:p w:rsidR="004E6750" w:rsidRPr="0072723E" w:rsidRDefault="00402B16" w:rsidP="00402B16">
            <w:pPr>
              <w:ind w:firstLine="317"/>
              <w:jc w:val="both"/>
              <w:rPr>
                <w:rFonts w:ascii="Times New Roman" w:hAnsi="Times New Roman" w:cs="Times New Roman"/>
                <w:sz w:val="24"/>
                <w:szCs w:val="24"/>
              </w:rPr>
            </w:pPr>
            <w:r w:rsidRPr="00402B16">
              <w:rPr>
                <w:rFonts w:ascii="Times New Roman" w:hAnsi="Times New Roman" w:cs="Times New Roman"/>
                <w:sz w:val="24"/>
                <w:szCs w:val="24"/>
              </w:rPr>
              <w:t>Робота з підвищення рівня обізнаності щодо цінностей територій та об’єктів природно-заповідного фонду</w:t>
            </w:r>
            <w:r w:rsidR="004E6750" w:rsidRPr="0072723E">
              <w:rPr>
                <w:rFonts w:ascii="Times New Roman" w:hAnsi="Times New Roman" w:cs="Times New Roman"/>
                <w:sz w:val="24"/>
                <w:szCs w:val="24"/>
              </w:rPr>
              <w:t xml:space="preserve"> </w:t>
            </w:r>
            <w:r>
              <w:rPr>
                <w:rFonts w:ascii="Times New Roman" w:hAnsi="Times New Roman" w:cs="Times New Roman"/>
                <w:sz w:val="24"/>
                <w:szCs w:val="24"/>
              </w:rPr>
              <w:t xml:space="preserve">в області </w:t>
            </w:r>
            <w:r w:rsidR="004E6750" w:rsidRPr="0072723E">
              <w:rPr>
                <w:rFonts w:ascii="Times New Roman" w:hAnsi="Times New Roman" w:cs="Times New Roman"/>
                <w:sz w:val="24"/>
                <w:szCs w:val="24"/>
              </w:rPr>
              <w:t>проводяться Національним природничим парком «Кармелюкове Поділля», Вінницьким обласним краєзнавчим музеєм, Вінницькою обласною станцією юних натуралістів, кафедрою природничих наук Вінницького державного педагогічного університету, Вінницького національного аграрного університету, Донецького національного університету ім. В. Стуса</w:t>
            </w:r>
            <w:r w:rsidR="00C87D86" w:rsidRPr="0072723E">
              <w:rPr>
                <w:rFonts w:ascii="Times New Roman" w:hAnsi="Times New Roman" w:cs="Times New Roman"/>
                <w:sz w:val="24"/>
                <w:szCs w:val="24"/>
              </w:rPr>
              <w:t>.</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16.</w:t>
            </w:r>
          </w:p>
        </w:tc>
        <w:tc>
          <w:tcPr>
            <w:tcW w:w="2552" w:type="dxa"/>
            <w:vMerge/>
          </w:tcPr>
          <w:p w:rsidR="004E6750" w:rsidRPr="0072723E" w:rsidRDefault="004E6750" w:rsidP="00AD1D6D">
            <w:pPr>
              <w:tabs>
                <w:tab w:val="left" w:pos="0"/>
              </w:tabs>
              <w:jc w:val="both"/>
              <w:rPr>
                <w:rFonts w:ascii="Times New Roman" w:hAnsi="Times New Roman" w:cs="Times New Roman"/>
                <w:sz w:val="24"/>
                <w:szCs w:val="24"/>
                <w:shd w:val="clear" w:color="auto" w:fill="FFFFFF"/>
              </w:rPr>
            </w:pPr>
          </w:p>
        </w:tc>
        <w:tc>
          <w:tcPr>
            <w:tcW w:w="3260" w:type="dxa"/>
          </w:tcPr>
          <w:p w:rsidR="004E6750" w:rsidRPr="0072723E" w:rsidRDefault="004E6750" w:rsidP="00AD1D6D">
            <w:pPr>
              <w:tabs>
                <w:tab w:val="left" w:pos="0"/>
              </w:tabs>
              <w:jc w:val="both"/>
              <w:rPr>
                <w:rFonts w:ascii="Times New Roman" w:hAnsi="Times New Roman" w:cs="Times New Roman"/>
                <w:sz w:val="24"/>
                <w:szCs w:val="24"/>
                <w:shd w:val="clear" w:color="auto" w:fill="FFFFFF"/>
              </w:rPr>
            </w:pPr>
            <w:r w:rsidRPr="0072723E">
              <w:rPr>
                <w:rFonts w:ascii="Times New Roman" w:hAnsi="Times New Roman" w:cs="Times New Roman"/>
                <w:sz w:val="24"/>
                <w:szCs w:val="24"/>
                <w:shd w:val="clear" w:color="auto" w:fill="FFFFFF"/>
              </w:rPr>
              <w:t>Розроблення та впровадження заходів із збереження окремих видів флори і фауни, середовищ їх існування на територіях і об’єктах природно-заповідного фонду</w:t>
            </w:r>
          </w:p>
        </w:tc>
        <w:tc>
          <w:tcPr>
            <w:tcW w:w="9214" w:type="dxa"/>
          </w:tcPr>
          <w:p w:rsidR="00C87D86" w:rsidRPr="00C87D86" w:rsidRDefault="00C87D86" w:rsidP="003D113E">
            <w:pPr>
              <w:tabs>
                <w:tab w:val="left" w:pos="0"/>
              </w:tabs>
              <w:ind w:firstLine="318"/>
              <w:contextualSpacing/>
              <w:jc w:val="both"/>
              <w:rPr>
                <w:rFonts w:ascii="Times New Roman" w:eastAsia="Times New Roman" w:hAnsi="Times New Roman" w:cs="Times New Roman"/>
                <w:sz w:val="24"/>
                <w:szCs w:val="24"/>
                <w:lang w:val="ru-RU" w:eastAsia="ru-RU"/>
              </w:rPr>
            </w:pPr>
            <w:r w:rsidRPr="00C87D86">
              <w:rPr>
                <w:rFonts w:ascii="Times New Roman" w:eastAsia="Times New Roman" w:hAnsi="Times New Roman" w:cs="Times New Roman"/>
                <w:sz w:val="24"/>
                <w:szCs w:val="24"/>
                <w:lang w:val="ru-RU" w:eastAsia="ru-RU"/>
              </w:rPr>
              <w:t xml:space="preserve">У 2020 році продовжувалася реалізація заходу щодо відновлення ландшафту території Северинівського парку-пам’ятки садово-паркового мистецтва місцевого значення у с. Северинівка Жмеринського району. </w:t>
            </w:r>
            <w:proofErr w:type="gramStart"/>
            <w:r w:rsidRPr="00C87D86">
              <w:rPr>
                <w:rFonts w:ascii="Times New Roman" w:eastAsia="Times New Roman" w:hAnsi="Times New Roman" w:cs="Times New Roman"/>
                <w:sz w:val="24"/>
                <w:szCs w:val="24"/>
                <w:lang w:val="ru-RU" w:eastAsia="ru-RU"/>
              </w:rPr>
              <w:t>З</w:t>
            </w:r>
            <w:proofErr w:type="gramEnd"/>
            <w:r w:rsidRPr="00C87D86">
              <w:rPr>
                <w:rFonts w:ascii="Times New Roman" w:eastAsia="Times New Roman" w:hAnsi="Times New Roman" w:cs="Times New Roman"/>
                <w:sz w:val="24"/>
                <w:szCs w:val="24"/>
                <w:lang w:val="ru-RU" w:eastAsia="ru-RU"/>
              </w:rPr>
              <w:t xml:space="preserve"> передбачених коштів обласного фонду охорони навколишнього природнього середовища у сумі 828,22 тис. грн, освоєно 823,295 тис. </w:t>
            </w:r>
            <w:proofErr w:type="spellStart"/>
            <w:r w:rsidRPr="00C87D86">
              <w:rPr>
                <w:rFonts w:ascii="Times New Roman" w:eastAsia="Times New Roman" w:hAnsi="Times New Roman" w:cs="Times New Roman"/>
                <w:sz w:val="24"/>
                <w:szCs w:val="24"/>
                <w:lang w:val="ru-RU" w:eastAsia="ru-RU"/>
              </w:rPr>
              <w:t>грн</w:t>
            </w:r>
            <w:proofErr w:type="spellEnd"/>
            <w:r w:rsidR="003D113E" w:rsidRPr="0032046A">
              <w:rPr>
                <w:sz w:val="28"/>
                <w:szCs w:val="28"/>
              </w:rPr>
              <w:t xml:space="preserve"> </w:t>
            </w:r>
            <w:r w:rsidR="003D113E" w:rsidRPr="003D113E">
              <w:rPr>
                <w:rFonts w:ascii="Times New Roman" w:eastAsia="Times New Roman" w:hAnsi="Times New Roman" w:cs="Times New Roman"/>
                <w:sz w:val="24"/>
                <w:szCs w:val="24"/>
                <w:lang w:val="ru-RU" w:eastAsia="ru-RU"/>
              </w:rPr>
              <w:t>(99,4%)</w:t>
            </w:r>
            <w:r w:rsidR="003D113E" w:rsidRPr="00C87D86">
              <w:rPr>
                <w:rFonts w:ascii="Times New Roman" w:eastAsia="Times New Roman" w:hAnsi="Times New Roman" w:cs="Times New Roman"/>
                <w:sz w:val="24"/>
                <w:szCs w:val="24"/>
                <w:lang w:val="ru-RU" w:eastAsia="ru-RU"/>
              </w:rPr>
              <w:t>.</w:t>
            </w:r>
          </w:p>
          <w:p w:rsidR="00C87D86" w:rsidRPr="0072723E" w:rsidRDefault="00C87D86" w:rsidP="003D113E">
            <w:pPr>
              <w:widowControl w:val="0"/>
              <w:shd w:val="clear" w:color="auto" w:fill="FFFFFF"/>
              <w:ind w:firstLine="318"/>
              <w:jc w:val="both"/>
              <w:rPr>
                <w:rFonts w:ascii="Times New Roman" w:hAnsi="Times New Roman" w:cs="Times New Roman"/>
                <w:sz w:val="24"/>
                <w:szCs w:val="24"/>
                <w:lang w:val="ru-RU"/>
              </w:rPr>
            </w:pPr>
            <w:r w:rsidRPr="00C87D86">
              <w:rPr>
                <w:rFonts w:ascii="Times New Roman" w:eastAsia="Times New Roman" w:hAnsi="Times New Roman" w:cs="Times New Roman"/>
                <w:sz w:val="24"/>
                <w:szCs w:val="24"/>
                <w:lang w:eastAsia="ru-RU"/>
              </w:rPr>
              <w:t>Також, реалізований захід, спрямований на збереження видів тварин і рослин, занесених до Червоної книги України, а саме зубра європейського. З обласного фонду охорони навколишнього природного середовища використано 300 тис. грн.</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21.</w:t>
            </w:r>
          </w:p>
        </w:tc>
        <w:tc>
          <w:tcPr>
            <w:tcW w:w="2552" w:type="dxa"/>
            <w:vMerge w:val="restart"/>
          </w:tcPr>
          <w:p w:rsidR="004E6750" w:rsidRPr="0072723E" w:rsidRDefault="004E6750"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lang w:val="uk-UA"/>
              </w:rPr>
              <w:t>Диверсифікація та розвиток сільської економіки</w:t>
            </w:r>
          </w:p>
        </w:tc>
        <w:tc>
          <w:tcPr>
            <w:tcW w:w="3260" w:type="dxa"/>
          </w:tcPr>
          <w:p w:rsidR="004E6750" w:rsidRPr="0072723E" w:rsidRDefault="004E6750" w:rsidP="00AD1D6D">
            <w:pPr>
              <w:pStyle w:val="rvps14"/>
              <w:spacing w:before="0" w:beforeAutospacing="0" w:after="0" w:afterAutospacing="0"/>
              <w:textAlignment w:val="baseline"/>
              <w:rPr>
                <w:color w:val="000000"/>
                <w:lang w:val="uk-UA"/>
              </w:rPr>
            </w:pPr>
            <w:r w:rsidRPr="0072723E">
              <w:rPr>
                <w:color w:val="000000"/>
                <w:shd w:val="clear" w:color="auto" w:fill="FFFFFF"/>
                <w:lang w:val="uk-UA"/>
              </w:rPr>
              <w:t>Законодавче врегулювання питання розвитку туристичної та рекреаційної діяльності у сільській місцевості шляхом внесення змін до</w:t>
            </w:r>
            <w:r w:rsidRPr="0072723E">
              <w:rPr>
                <w:color w:val="000000"/>
                <w:shd w:val="clear" w:color="auto" w:fill="FFFFFF"/>
              </w:rPr>
              <w:t> </w:t>
            </w:r>
            <w:hyperlink r:id="rId6" w:tgtFrame="_blank" w:history="1">
              <w:r w:rsidRPr="0072723E">
                <w:rPr>
                  <w:rStyle w:val="a5"/>
                  <w:color w:val="000099"/>
                  <w:bdr w:val="none" w:sz="0" w:space="0" w:color="auto" w:frame="1"/>
                  <w:shd w:val="clear" w:color="auto" w:fill="FFFFFF"/>
                  <w:lang w:val="uk-UA"/>
                </w:rPr>
                <w:t>Закону України</w:t>
              </w:r>
            </w:hyperlink>
            <w:r w:rsidRPr="0072723E">
              <w:rPr>
                <w:color w:val="000000"/>
                <w:shd w:val="clear" w:color="auto" w:fill="FFFFFF"/>
              </w:rPr>
              <w:t> </w:t>
            </w:r>
            <w:r w:rsidRPr="0072723E">
              <w:rPr>
                <w:color w:val="000000"/>
                <w:shd w:val="clear" w:color="auto" w:fill="FFFFFF"/>
                <w:lang w:val="uk-UA"/>
              </w:rPr>
              <w:t>“Про туризм”</w:t>
            </w:r>
          </w:p>
        </w:tc>
        <w:tc>
          <w:tcPr>
            <w:tcW w:w="9214" w:type="dxa"/>
          </w:tcPr>
          <w:p w:rsidR="00C87D86" w:rsidRPr="00C87D86" w:rsidRDefault="00C87D86" w:rsidP="0057566C">
            <w:pPr>
              <w:ind w:firstLine="317"/>
              <w:jc w:val="both"/>
              <w:rPr>
                <w:rFonts w:ascii="Times New Roman" w:eastAsia="Times New Roman" w:hAnsi="Times New Roman" w:cs="Times New Roman"/>
                <w:sz w:val="24"/>
                <w:szCs w:val="24"/>
                <w:lang w:eastAsia="ru-RU"/>
              </w:rPr>
            </w:pPr>
            <w:r w:rsidRPr="00C87D86">
              <w:rPr>
                <w:rFonts w:ascii="Times New Roman" w:eastAsia="Times New Roman" w:hAnsi="Times New Roman" w:cs="Times New Roman"/>
                <w:sz w:val="24"/>
                <w:szCs w:val="24"/>
                <w:lang w:eastAsia="ru-RU"/>
              </w:rPr>
              <w:t>Відповідно до Програми розвитку туризму у Вінницькій області на 2017 - 2020 роки на реалізацію заходів в 2020 році з обласного бюджету передбачено кошти в сумі 650 тис. грн. У зв’язку з наслідками пандемії COVID-19, в 2020 році використано 396,2 тис. грн., що становить 60,9 % від передбаченого. Сума надходжень до місцевих бюджетів від туристичного збору в області за 2020 року становить 1448,3 тис грн., що на 55,8 % менше аналогічного періоду 2019 року. Основною причиною зменшення величини надходжень туристичного збору є наслідки пандемії, що спричинені COVID-19.</w:t>
            </w:r>
          </w:p>
          <w:p w:rsidR="00C87D86" w:rsidRPr="00C87D86" w:rsidRDefault="00C87D86" w:rsidP="0057566C">
            <w:pPr>
              <w:ind w:firstLine="317"/>
              <w:jc w:val="both"/>
              <w:rPr>
                <w:rFonts w:ascii="Times New Roman" w:eastAsia="Times New Roman" w:hAnsi="Times New Roman" w:cs="Times New Roman"/>
                <w:sz w:val="24"/>
                <w:szCs w:val="24"/>
                <w:lang w:eastAsia="ru-RU"/>
              </w:rPr>
            </w:pPr>
            <w:r w:rsidRPr="00C87D86">
              <w:rPr>
                <w:rFonts w:ascii="Times New Roman" w:eastAsia="Times New Roman" w:hAnsi="Times New Roman" w:cs="Times New Roman"/>
                <w:sz w:val="24"/>
                <w:szCs w:val="24"/>
                <w:lang w:eastAsia="ru-RU"/>
              </w:rPr>
              <w:t>Спільно з Національною туристичною організацією проводиться робота щодо розробки та формуванню туристичного бренду Вінницької області. Наразі створено бренд-платформу «Вінниччина туристична» та триває розробка айдентики туристичного бренду.</w:t>
            </w:r>
            <w:r w:rsidRPr="00C87D86">
              <w:rPr>
                <w:rFonts w:ascii="Times New Roman" w:eastAsia="Times New Roman" w:hAnsi="Times New Roman" w:cs="Times New Roman"/>
                <w:sz w:val="24"/>
                <w:szCs w:val="24"/>
                <w:lang w:eastAsia="ru-RU"/>
              </w:rPr>
              <w:tab/>
            </w:r>
            <w:r w:rsidRPr="00C87D86">
              <w:rPr>
                <w:rFonts w:ascii="Times New Roman" w:eastAsia="Times New Roman" w:hAnsi="Times New Roman" w:cs="Times New Roman"/>
                <w:sz w:val="24"/>
                <w:szCs w:val="24"/>
                <w:lang w:eastAsia="ru-RU"/>
              </w:rPr>
              <w:tab/>
            </w:r>
            <w:r w:rsidRPr="00C87D86">
              <w:rPr>
                <w:rFonts w:ascii="Times New Roman" w:eastAsia="Times New Roman" w:hAnsi="Times New Roman" w:cs="Times New Roman"/>
                <w:sz w:val="24"/>
                <w:szCs w:val="24"/>
                <w:lang w:eastAsia="ru-RU"/>
              </w:rPr>
              <w:tab/>
            </w:r>
          </w:p>
          <w:p w:rsidR="002B0603" w:rsidRDefault="00C87D86" w:rsidP="0057566C">
            <w:pPr>
              <w:ind w:firstLine="317"/>
              <w:jc w:val="both"/>
              <w:rPr>
                <w:rFonts w:ascii="Times New Roman" w:eastAsia="Times New Roman" w:hAnsi="Times New Roman" w:cs="Times New Roman"/>
                <w:sz w:val="24"/>
                <w:szCs w:val="24"/>
                <w:lang w:eastAsia="ru-RU"/>
              </w:rPr>
            </w:pPr>
            <w:r w:rsidRPr="00C87D86">
              <w:rPr>
                <w:rFonts w:ascii="Times New Roman" w:eastAsia="Times New Roman" w:hAnsi="Times New Roman" w:cs="Times New Roman"/>
                <w:sz w:val="24"/>
                <w:szCs w:val="24"/>
                <w:lang w:eastAsia="ru-RU"/>
              </w:rPr>
              <w:lastRenderedPageBreak/>
              <w:t>В рамках програми «Мандруй Україною» прийнято участь в реалізації проєкту «Туристичні магніти України» та визначено п’ять основних туристичних магнітів Вінниччини: Світломузичний фонтан Рошен, Національний музей-садиба М.І. Пирогова, Палац Потоцьких у м. Тульчин, Державний історико-культурний заповідник «Буша», Лядівський Свято-Усікновенський скельний чолов</w:t>
            </w:r>
            <w:r w:rsidR="002B0603">
              <w:rPr>
                <w:rFonts w:ascii="Times New Roman" w:eastAsia="Times New Roman" w:hAnsi="Times New Roman" w:cs="Times New Roman"/>
                <w:sz w:val="24"/>
                <w:szCs w:val="24"/>
                <w:lang w:eastAsia="ru-RU"/>
              </w:rPr>
              <w:t>ічий монастир ХІ століття.</w:t>
            </w:r>
          </w:p>
          <w:p w:rsidR="00C87D86" w:rsidRPr="00C87D86" w:rsidRDefault="002B0603" w:rsidP="0057566C">
            <w:pPr>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87D86" w:rsidRPr="0072723E">
              <w:rPr>
                <w:rFonts w:ascii="Times New Roman" w:eastAsia="Times New Roman" w:hAnsi="Times New Roman" w:cs="Times New Roman"/>
                <w:sz w:val="24"/>
                <w:szCs w:val="24"/>
                <w:lang w:eastAsia="ru-RU"/>
              </w:rPr>
              <w:t>П</w:t>
            </w:r>
            <w:r w:rsidR="00C87D86" w:rsidRPr="00C87D86">
              <w:rPr>
                <w:rFonts w:ascii="Times New Roman" w:eastAsia="Times New Roman" w:hAnsi="Times New Roman" w:cs="Times New Roman"/>
                <w:sz w:val="24"/>
                <w:szCs w:val="24"/>
                <w:lang w:eastAsia="ru-RU"/>
              </w:rPr>
              <w:t xml:space="preserve">роведено роботи щодо облаштування інфраструктури Відокремленого підрозділу Подільський зоопарк ВОКСЛП «Віноблагроліс». Заклад налічує більше 400 представників різних видів тварин та є однією із туристичних родзинок Вінниччини. </w:t>
            </w:r>
          </w:p>
          <w:p w:rsidR="00C87D86" w:rsidRPr="00C87D86" w:rsidRDefault="00C87D86" w:rsidP="0057566C">
            <w:pPr>
              <w:ind w:firstLine="317"/>
              <w:jc w:val="both"/>
              <w:rPr>
                <w:rFonts w:ascii="Times New Roman" w:eastAsia="Times New Roman" w:hAnsi="Times New Roman" w:cs="Times New Roman"/>
                <w:sz w:val="24"/>
                <w:szCs w:val="24"/>
                <w:lang w:eastAsia="ru-RU"/>
              </w:rPr>
            </w:pPr>
            <w:r w:rsidRPr="00C87D86">
              <w:rPr>
                <w:rFonts w:ascii="Times New Roman" w:eastAsia="Times New Roman" w:hAnsi="Times New Roman" w:cs="Times New Roman"/>
                <w:sz w:val="24"/>
                <w:szCs w:val="24"/>
                <w:lang w:eastAsia="ru-RU"/>
              </w:rPr>
              <w:t>Проводиться робота щодо створення та публікації туристичного контенту в соцмережах та мережі інтернет. Для популяризації туристичних місць Вінницької області були проведені челенджі  #МадруйВінничиною та #МандруйУкраїною. В рамках програми #МандруйУкраїною розроблено туристичні маршрути Вінниччиною тривалістю: 2 дні - 2 маршрута, 3 дні - 3 маршрута, 5 днів - 4 маршрута, 10 днів - 1 маршрут.</w:t>
            </w:r>
            <w:r w:rsidRPr="00C87D86">
              <w:rPr>
                <w:rFonts w:ascii="Times New Roman" w:eastAsia="Times New Roman" w:hAnsi="Times New Roman" w:cs="Times New Roman"/>
                <w:sz w:val="24"/>
                <w:szCs w:val="24"/>
                <w:lang w:eastAsia="ru-RU"/>
              </w:rPr>
              <w:tab/>
            </w:r>
            <w:r w:rsidRPr="00C87D86">
              <w:rPr>
                <w:rFonts w:ascii="Times New Roman" w:eastAsia="Times New Roman" w:hAnsi="Times New Roman" w:cs="Times New Roman"/>
                <w:sz w:val="24"/>
                <w:szCs w:val="24"/>
                <w:lang w:eastAsia="ru-RU"/>
              </w:rPr>
              <w:tab/>
            </w:r>
            <w:r w:rsidRPr="00C87D86">
              <w:rPr>
                <w:rFonts w:ascii="Times New Roman" w:eastAsia="Times New Roman" w:hAnsi="Times New Roman" w:cs="Times New Roman"/>
                <w:sz w:val="24"/>
                <w:szCs w:val="24"/>
                <w:lang w:eastAsia="ru-RU"/>
              </w:rPr>
              <w:tab/>
            </w:r>
            <w:r w:rsidRPr="00C87D86">
              <w:rPr>
                <w:rFonts w:ascii="Times New Roman" w:eastAsia="Times New Roman" w:hAnsi="Times New Roman" w:cs="Times New Roman"/>
                <w:sz w:val="24"/>
                <w:szCs w:val="24"/>
                <w:lang w:eastAsia="ru-RU"/>
              </w:rPr>
              <w:tab/>
            </w:r>
            <w:r w:rsidRPr="00C87D86">
              <w:rPr>
                <w:rFonts w:ascii="Times New Roman" w:eastAsia="Times New Roman" w:hAnsi="Times New Roman" w:cs="Times New Roman"/>
                <w:sz w:val="24"/>
                <w:szCs w:val="24"/>
                <w:lang w:eastAsia="ru-RU"/>
              </w:rPr>
              <w:tab/>
            </w:r>
          </w:p>
          <w:p w:rsidR="00C87D86" w:rsidRPr="0072723E" w:rsidRDefault="00C87D86" w:rsidP="0057566C">
            <w:pPr>
              <w:ind w:firstLine="317"/>
              <w:jc w:val="both"/>
              <w:rPr>
                <w:rFonts w:ascii="Times New Roman" w:hAnsi="Times New Roman" w:cs="Times New Roman"/>
                <w:sz w:val="24"/>
                <w:szCs w:val="24"/>
              </w:rPr>
            </w:pPr>
            <w:r w:rsidRPr="00C87D86">
              <w:rPr>
                <w:rFonts w:ascii="Times New Roman" w:eastAsia="Times New Roman" w:hAnsi="Times New Roman" w:cs="Times New Roman"/>
                <w:sz w:val="24"/>
                <w:szCs w:val="24"/>
                <w:lang w:eastAsia="ru-RU"/>
              </w:rPr>
              <w:t>Прийнято Програму розвитку туризму у Вінницькій області на 2021 - 2027 роки, затвердженої рішенням 45 сесії обласної Ради 7 скликання від 24 вересня 2020 року №978.</w:t>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lastRenderedPageBreak/>
              <w:t>26.</w:t>
            </w:r>
          </w:p>
          <w:p w:rsidR="004E6750" w:rsidRPr="0072723E" w:rsidRDefault="004E6750" w:rsidP="002B652F">
            <w:pPr>
              <w:rPr>
                <w:rFonts w:ascii="Times New Roman" w:hAnsi="Times New Roman" w:cs="Times New Roman"/>
                <w:sz w:val="24"/>
                <w:szCs w:val="24"/>
              </w:rPr>
            </w:pPr>
          </w:p>
          <w:p w:rsidR="004E6750" w:rsidRPr="0072723E" w:rsidRDefault="004E6750" w:rsidP="002B652F">
            <w:pPr>
              <w:rPr>
                <w:rFonts w:ascii="Times New Roman" w:hAnsi="Times New Roman" w:cs="Times New Roman"/>
                <w:sz w:val="24"/>
                <w:szCs w:val="24"/>
              </w:rPr>
            </w:pPr>
          </w:p>
        </w:tc>
        <w:tc>
          <w:tcPr>
            <w:tcW w:w="2552" w:type="dxa"/>
            <w:vMerge/>
          </w:tcPr>
          <w:p w:rsidR="004E6750" w:rsidRPr="0072723E" w:rsidRDefault="004E6750" w:rsidP="00AD1D6D">
            <w:pPr>
              <w:pStyle w:val="rvps14"/>
              <w:spacing w:before="0" w:beforeAutospacing="0" w:after="0" w:afterAutospacing="0"/>
              <w:textAlignment w:val="baseline"/>
              <w:rPr>
                <w:color w:val="000000"/>
                <w:shd w:val="clear" w:color="auto" w:fill="FFFFFF"/>
              </w:rPr>
            </w:pPr>
          </w:p>
        </w:tc>
        <w:tc>
          <w:tcPr>
            <w:tcW w:w="3260" w:type="dxa"/>
          </w:tcPr>
          <w:p w:rsidR="004E6750" w:rsidRPr="0072723E" w:rsidRDefault="004E6750"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rPr>
              <w:t>Розроблення пілотних проектів щодо сприяння виходу малих та середніх сільськогосподарських товаровиробників на організований товарний ринок</w:t>
            </w:r>
          </w:p>
        </w:tc>
        <w:tc>
          <w:tcPr>
            <w:tcW w:w="9214" w:type="dxa"/>
          </w:tcPr>
          <w:p w:rsidR="0046123C" w:rsidRPr="0072723E" w:rsidRDefault="004E6750" w:rsidP="0057566C">
            <w:pPr>
              <w:tabs>
                <w:tab w:val="left" w:pos="1013"/>
              </w:tabs>
              <w:ind w:firstLine="317"/>
              <w:jc w:val="both"/>
              <w:rPr>
                <w:rFonts w:ascii="Times New Roman" w:eastAsia="Times New Roman" w:hAnsi="Times New Roman" w:cs="Times New Roman"/>
                <w:bCs/>
                <w:iCs/>
                <w:sz w:val="24"/>
                <w:szCs w:val="24"/>
                <w:lang w:eastAsia="ru-RU"/>
              </w:rPr>
            </w:pPr>
            <w:r w:rsidRPr="0072723E">
              <w:rPr>
                <w:rFonts w:ascii="Times New Roman" w:hAnsi="Times New Roman" w:cs="Times New Roman"/>
                <w:bCs/>
                <w:iCs/>
                <w:sz w:val="24"/>
                <w:szCs w:val="24"/>
              </w:rPr>
              <w:t xml:space="preserve">З початку дії проекту </w:t>
            </w:r>
            <w:r w:rsidRPr="0072723E">
              <w:rPr>
                <w:rFonts w:ascii="Times New Roman" w:hAnsi="Times New Roman" w:cs="Times New Roman"/>
                <w:bCs/>
                <w:sz w:val="24"/>
                <w:szCs w:val="24"/>
              </w:rPr>
              <w:t xml:space="preserve">«Аграрні розписки в Україні», </w:t>
            </w:r>
            <w:r w:rsidR="00636189" w:rsidRPr="0072723E">
              <w:rPr>
                <w:rFonts w:ascii="Times New Roman" w:hAnsi="Times New Roman" w:cs="Times New Roman"/>
                <w:bCs/>
                <w:iCs/>
                <w:sz w:val="24"/>
                <w:szCs w:val="24"/>
              </w:rPr>
              <w:t>с</w:t>
            </w:r>
            <w:r w:rsidR="00636189" w:rsidRPr="00636189">
              <w:rPr>
                <w:rFonts w:ascii="Times New Roman" w:eastAsia="Times New Roman" w:hAnsi="Times New Roman" w:cs="Times New Roman"/>
                <w:bCs/>
                <w:iCs/>
                <w:sz w:val="24"/>
                <w:szCs w:val="24"/>
                <w:lang w:eastAsia="ru-RU"/>
              </w:rPr>
              <w:t>ільськогосподарськими виробниками області було оформлено 482 аграрних фінансових та  товарних розписок, що дало можливість додатково залучити більше 1,9 млрд. грн. фінансового ресурсу. Можливістю залучення додаткових ресурсів скористались як потужні сільськогосподарські підприємства, так і невеликі господарства з земельним банком від 15 га.</w:t>
            </w:r>
          </w:p>
          <w:p w:rsidR="004E6750" w:rsidRPr="0072723E" w:rsidRDefault="0046123C" w:rsidP="0057566C">
            <w:pPr>
              <w:tabs>
                <w:tab w:val="left" w:pos="1013"/>
              </w:tabs>
              <w:ind w:firstLine="317"/>
              <w:jc w:val="both"/>
              <w:rPr>
                <w:rFonts w:ascii="Times New Roman" w:hAnsi="Times New Roman" w:cs="Times New Roman"/>
                <w:sz w:val="24"/>
                <w:szCs w:val="24"/>
              </w:rPr>
            </w:pPr>
            <w:r w:rsidRPr="0072723E">
              <w:rPr>
                <w:rFonts w:ascii="Times New Roman" w:eastAsia="Times New Roman" w:hAnsi="Times New Roman" w:cs="Times New Roman"/>
                <w:bCs/>
                <w:iCs/>
                <w:sz w:val="24"/>
                <w:szCs w:val="24"/>
                <w:lang w:eastAsia="ru-RU"/>
              </w:rPr>
              <w:t xml:space="preserve">В 2020 році </w:t>
            </w:r>
            <w:r w:rsidRPr="0072723E">
              <w:rPr>
                <w:rFonts w:ascii="Times New Roman" w:hAnsi="Times New Roman" w:cs="Times New Roman"/>
                <w:bCs/>
                <w:iCs/>
                <w:sz w:val="24"/>
                <w:szCs w:val="24"/>
              </w:rPr>
              <w:t>у</w:t>
            </w:r>
            <w:r w:rsidRPr="0072723E">
              <w:rPr>
                <w:rFonts w:ascii="Times New Roman" w:eastAsia="Times New Roman" w:hAnsi="Times New Roman" w:cs="Times New Roman"/>
                <w:bCs/>
                <w:iCs/>
                <w:sz w:val="24"/>
                <w:szCs w:val="24"/>
              </w:rPr>
              <w:t xml:space="preserve"> Вінницькій області на території Барської та Северинівської об’єднаних територіальних громад реалізовувався грантовий проєкт</w:t>
            </w:r>
            <w:r w:rsidRPr="0072723E">
              <w:rPr>
                <w:rFonts w:ascii="Times New Roman" w:hAnsi="Times New Roman" w:cs="Times New Roman"/>
                <w:bCs/>
                <w:iCs/>
                <w:sz w:val="24"/>
                <w:szCs w:val="24"/>
              </w:rPr>
              <w:t xml:space="preserve"> технічної фінансової допомоги Європейського Союзу</w:t>
            </w:r>
            <w:r w:rsidRPr="0072723E">
              <w:rPr>
                <w:rFonts w:ascii="Times New Roman" w:eastAsia="Times New Roman" w:hAnsi="Times New Roman" w:cs="Times New Roman"/>
                <w:bCs/>
                <w:iCs/>
                <w:sz w:val="24"/>
                <w:szCs w:val="24"/>
              </w:rPr>
              <w:t xml:space="preserve"> Кластер «Яблуневий шлях»</w:t>
            </w:r>
            <w:r w:rsidRPr="0072723E">
              <w:rPr>
                <w:rFonts w:ascii="Times New Roman" w:hAnsi="Times New Roman" w:cs="Times New Roman"/>
                <w:bCs/>
                <w:iCs/>
                <w:sz w:val="24"/>
                <w:szCs w:val="24"/>
              </w:rPr>
              <w:t xml:space="preserve">, метою якого є </w:t>
            </w:r>
            <w:r w:rsidRPr="0072723E">
              <w:rPr>
                <w:rFonts w:ascii="Times New Roman" w:eastAsia="Times New Roman" w:hAnsi="Times New Roman" w:cs="Times New Roman"/>
                <w:bCs/>
                <w:iCs/>
                <w:sz w:val="24"/>
                <w:szCs w:val="24"/>
              </w:rPr>
              <w:t xml:space="preserve">створення </w:t>
            </w:r>
            <w:r w:rsidRPr="0072723E">
              <w:rPr>
                <w:rFonts w:ascii="Times New Roman" w:hAnsi="Times New Roman" w:cs="Times New Roman"/>
                <w:bCs/>
                <w:iCs/>
                <w:sz w:val="24"/>
                <w:szCs w:val="24"/>
              </w:rPr>
              <w:t xml:space="preserve">агротуристичного кластеру для популяризації регіонального продукту «подільське яблуко». </w:t>
            </w:r>
            <w:r w:rsidRPr="0072723E">
              <w:rPr>
                <w:rFonts w:ascii="Times New Roman" w:eastAsia="Times New Roman" w:hAnsi="Times New Roman" w:cs="Times New Roman"/>
                <w:bCs/>
                <w:iCs/>
                <w:sz w:val="24"/>
                <w:szCs w:val="24"/>
              </w:rPr>
              <w:t>Вартість проекту складає 70</w:t>
            </w:r>
            <w:r w:rsidRPr="0072723E">
              <w:rPr>
                <w:rFonts w:ascii="Times New Roman" w:hAnsi="Times New Roman" w:cs="Times New Roman"/>
                <w:bCs/>
                <w:iCs/>
                <w:sz w:val="24"/>
                <w:szCs w:val="24"/>
              </w:rPr>
              <w:t>2,8</w:t>
            </w:r>
            <w:r w:rsidRPr="0072723E">
              <w:rPr>
                <w:rFonts w:ascii="Times New Roman" w:eastAsia="Times New Roman" w:hAnsi="Times New Roman" w:cs="Times New Roman"/>
                <w:bCs/>
                <w:iCs/>
                <w:sz w:val="24"/>
                <w:szCs w:val="24"/>
              </w:rPr>
              <w:t xml:space="preserve"> тис. євро.</w:t>
            </w:r>
            <w:r w:rsidR="004E6750" w:rsidRPr="0072723E">
              <w:rPr>
                <w:rFonts w:ascii="Times New Roman" w:hAnsi="Times New Roman" w:cs="Times New Roman"/>
                <w:sz w:val="24"/>
                <w:szCs w:val="24"/>
              </w:rPr>
              <w:tab/>
            </w:r>
          </w:p>
        </w:tc>
      </w:tr>
      <w:tr w:rsidR="004E6750" w:rsidRPr="0072723E" w:rsidTr="00FA54EC">
        <w:tc>
          <w:tcPr>
            <w:tcW w:w="709" w:type="dxa"/>
          </w:tcPr>
          <w:p w:rsidR="004E6750" w:rsidRPr="0072723E" w:rsidRDefault="004E6750"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28</w:t>
            </w:r>
          </w:p>
        </w:tc>
        <w:tc>
          <w:tcPr>
            <w:tcW w:w="2552" w:type="dxa"/>
          </w:tcPr>
          <w:p w:rsidR="004E6750" w:rsidRPr="0072723E" w:rsidRDefault="004E6750"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lang w:val="uk-UA"/>
              </w:rPr>
              <w:t>Удосконалення системи управління сільськими територіями</w:t>
            </w:r>
          </w:p>
          <w:p w:rsidR="004E6750" w:rsidRPr="0072723E" w:rsidRDefault="004E6750" w:rsidP="002B652F">
            <w:pPr>
              <w:rPr>
                <w:rFonts w:ascii="Times New Roman" w:hAnsi="Times New Roman" w:cs="Times New Roman"/>
                <w:sz w:val="24"/>
                <w:szCs w:val="24"/>
                <w:lang w:eastAsia="ru-RU"/>
              </w:rPr>
            </w:pPr>
          </w:p>
          <w:p w:rsidR="004E6750" w:rsidRPr="0072723E" w:rsidRDefault="004E6750" w:rsidP="002B652F">
            <w:pPr>
              <w:rPr>
                <w:rFonts w:ascii="Times New Roman" w:hAnsi="Times New Roman" w:cs="Times New Roman"/>
                <w:sz w:val="24"/>
                <w:szCs w:val="24"/>
                <w:lang w:eastAsia="ru-RU"/>
              </w:rPr>
            </w:pPr>
          </w:p>
          <w:p w:rsidR="004E6750" w:rsidRPr="0072723E" w:rsidRDefault="004E6750" w:rsidP="002B652F">
            <w:pPr>
              <w:rPr>
                <w:rFonts w:ascii="Times New Roman" w:hAnsi="Times New Roman" w:cs="Times New Roman"/>
                <w:sz w:val="24"/>
                <w:szCs w:val="24"/>
                <w:lang w:eastAsia="ru-RU"/>
              </w:rPr>
            </w:pPr>
          </w:p>
          <w:p w:rsidR="004E6750" w:rsidRPr="0072723E" w:rsidRDefault="004E6750" w:rsidP="002B652F">
            <w:pPr>
              <w:rPr>
                <w:rFonts w:ascii="Times New Roman" w:hAnsi="Times New Roman" w:cs="Times New Roman"/>
                <w:sz w:val="24"/>
                <w:szCs w:val="24"/>
                <w:lang w:eastAsia="ru-RU"/>
              </w:rPr>
            </w:pPr>
          </w:p>
          <w:p w:rsidR="004E6750" w:rsidRPr="0072723E" w:rsidRDefault="004E6750" w:rsidP="002B652F">
            <w:pPr>
              <w:jc w:val="center"/>
              <w:rPr>
                <w:rFonts w:ascii="Times New Roman" w:hAnsi="Times New Roman" w:cs="Times New Roman"/>
                <w:sz w:val="24"/>
                <w:szCs w:val="24"/>
                <w:lang w:eastAsia="ru-RU"/>
              </w:rPr>
            </w:pPr>
          </w:p>
        </w:tc>
        <w:tc>
          <w:tcPr>
            <w:tcW w:w="3260" w:type="dxa"/>
          </w:tcPr>
          <w:p w:rsidR="004E6750" w:rsidRPr="0072723E" w:rsidRDefault="004E6750"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lang w:val="uk-UA"/>
              </w:rPr>
              <w:t>Здійснення заходів, у тому числі розроблення та подання на розгляд Кабінету Міністрів України проектів нормативно-правових актів, з метою імплементації положень, передбачених у</w:t>
            </w:r>
            <w:r w:rsidRPr="0072723E">
              <w:rPr>
                <w:color w:val="000000"/>
                <w:shd w:val="clear" w:color="auto" w:fill="FFFFFF"/>
              </w:rPr>
              <w:t> </w:t>
            </w:r>
            <w:hyperlink r:id="rId7" w:anchor="n2470" w:tgtFrame="_blank" w:history="1">
              <w:r w:rsidRPr="0072723E">
                <w:rPr>
                  <w:rStyle w:val="a5"/>
                  <w:color w:val="000099"/>
                  <w:bdr w:val="none" w:sz="0" w:space="0" w:color="auto" w:frame="1"/>
                  <w:shd w:val="clear" w:color="auto" w:fill="FFFFFF"/>
                  <w:lang w:val="uk-UA"/>
                </w:rPr>
                <w:t>статтях 403-405</w:t>
              </w:r>
            </w:hyperlink>
            <w:r w:rsidRPr="0072723E">
              <w:rPr>
                <w:color w:val="000000"/>
                <w:shd w:val="clear" w:color="auto" w:fill="FFFFFF"/>
              </w:rPr>
              <w:t> </w:t>
            </w:r>
            <w:r w:rsidRPr="0072723E">
              <w:rPr>
                <w:color w:val="000000"/>
                <w:shd w:val="clear" w:color="auto" w:fill="FFFFFF"/>
                <w:lang w:val="uk-UA"/>
              </w:rPr>
              <w:t xml:space="preserve">Угоди про асоціацію між Україною, з однієї сторони, та Європейським Союзом, </w:t>
            </w:r>
            <w:r w:rsidRPr="0072723E">
              <w:rPr>
                <w:color w:val="000000"/>
                <w:shd w:val="clear" w:color="auto" w:fill="FFFFFF"/>
                <w:lang w:val="uk-UA"/>
              </w:rPr>
              <w:lastRenderedPageBreak/>
              <w:t>Європейським співтовариством з атомної енергії і їхніми державами-членами, з іншої сторони, та</w:t>
            </w:r>
            <w:r w:rsidRPr="0072723E">
              <w:rPr>
                <w:color w:val="000000"/>
                <w:shd w:val="clear" w:color="auto" w:fill="FFFFFF"/>
              </w:rPr>
              <w:t> </w:t>
            </w:r>
            <w:hyperlink r:id="rId8" w:anchor="n30" w:tgtFrame="_blank" w:history="1">
              <w:r w:rsidRPr="0072723E">
                <w:rPr>
                  <w:rStyle w:val="a5"/>
                  <w:color w:val="000099"/>
                  <w:bdr w:val="none" w:sz="0" w:space="0" w:color="auto" w:frame="1"/>
                  <w:shd w:val="clear" w:color="auto" w:fill="FFFFFF"/>
                  <w:lang w:val="uk-UA"/>
                </w:rPr>
                <w:t xml:space="preserve">Додатку </w:t>
              </w:r>
              <w:r w:rsidRPr="0072723E">
                <w:rPr>
                  <w:rStyle w:val="a5"/>
                  <w:color w:val="000099"/>
                  <w:bdr w:val="none" w:sz="0" w:space="0" w:color="auto" w:frame="1"/>
                  <w:shd w:val="clear" w:color="auto" w:fill="FFFFFF"/>
                </w:rPr>
                <w:t>XXXVIII </w:t>
              </w:r>
            </w:hyperlink>
            <w:r w:rsidRPr="0072723E">
              <w:rPr>
                <w:color w:val="000000"/>
                <w:shd w:val="clear" w:color="auto" w:fill="FFFFFF"/>
                <w:lang w:val="uk-UA"/>
              </w:rPr>
              <w:t>до Угоди</w:t>
            </w:r>
          </w:p>
        </w:tc>
        <w:tc>
          <w:tcPr>
            <w:tcW w:w="9214" w:type="dxa"/>
          </w:tcPr>
          <w:p w:rsidR="00636189" w:rsidRPr="0072723E" w:rsidRDefault="00636189" w:rsidP="0057566C">
            <w:pPr>
              <w:ind w:firstLine="317"/>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iCs/>
                <w:sz w:val="24"/>
                <w:szCs w:val="24"/>
                <w:lang w:eastAsia="ru-RU"/>
              </w:rPr>
              <w:lastRenderedPageBreak/>
              <w:t>0</w:t>
            </w:r>
            <w:r w:rsidRPr="0072723E">
              <w:rPr>
                <w:rFonts w:ascii="Times New Roman" w:eastAsia="Times New Roman" w:hAnsi="Times New Roman" w:cs="Times New Roman"/>
                <w:sz w:val="24"/>
                <w:szCs w:val="24"/>
                <w:lang w:eastAsia="ru-RU"/>
              </w:rPr>
              <w:t xml:space="preserve">4.02.2020 року </w:t>
            </w:r>
            <w:r w:rsidR="0046123C" w:rsidRPr="0072723E">
              <w:rPr>
                <w:rFonts w:ascii="Times New Roman" w:eastAsia="Times New Roman" w:hAnsi="Times New Roman" w:cs="Times New Roman"/>
                <w:sz w:val="24"/>
                <w:szCs w:val="24"/>
                <w:lang w:eastAsia="ru-RU"/>
              </w:rPr>
              <w:t xml:space="preserve">у м. Вінниця відбувся </w:t>
            </w:r>
            <w:r w:rsidRPr="0072723E">
              <w:rPr>
                <w:rFonts w:ascii="Times New Roman" w:eastAsia="Times New Roman" w:hAnsi="Times New Roman" w:cs="Times New Roman"/>
                <w:sz w:val="24"/>
                <w:szCs w:val="24"/>
                <w:lang w:eastAsia="ru-RU"/>
              </w:rPr>
              <w:t>киргизько-українськ</w:t>
            </w:r>
            <w:r w:rsidR="0046123C" w:rsidRPr="0072723E">
              <w:rPr>
                <w:rFonts w:ascii="Times New Roman" w:eastAsia="Times New Roman" w:hAnsi="Times New Roman" w:cs="Times New Roman"/>
                <w:sz w:val="24"/>
                <w:szCs w:val="24"/>
                <w:lang w:eastAsia="ru-RU"/>
              </w:rPr>
              <w:t>ий</w:t>
            </w:r>
            <w:r w:rsidRPr="0072723E">
              <w:rPr>
                <w:rFonts w:ascii="Times New Roman" w:eastAsia="Times New Roman" w:hAnsi="Times New Roman" w:cs="Times New Roman"/>
                <w:sz w:val="24"/>
                <w:szCs w:val="24"/>
                <w:lang w:eastAsia="ru-RU"/>
              </w:rPr>
              <w:t xml:space="preserve"> бізнес-форум з легкої промисловості, який зібрав понад 60 учасників профільних підприємств галузі з України та Киргизстану. На форумі було презентовано найбільш перспективні проекти легкої промисловості в Киргизстані і в Україні, запуск яких може стати успішним початком двостороннього партнерства у виході на ринки Азії та Європи.</w:t>
            </w:r>
          </w:p>
          <w:p w:rsidR="00636189" w:rsidRPr="00636189" w:rsidRDefault="00636189" w:rsidP="0057566C">
            <w:pPr>
              <w:shd w:val="clear" w:color="auto" w:fill="FFFFFF"/>
              <w:spacing w:line="235" w:lineRule="atLeast"/>
              <w:ind w:firstLine="317"/>
              <w:jc w:val="both"/>
              <w:rPr>
                <w:rFonts w:ascii="Times New Roman" w:eastAsia="Times New Roman" w:hAnsi="Times New Roman" w:cs="Times New Roman"/>
                <w:sz w:val="24"/>
                <w:szCs w:val="24"/>
                <w:lang w:val="ru-RU" w:eastAsia="ru-RU"/>
              </w:rPr>
            </w:pPr>
            <w:r w:rsidRPr="00636189">
              <w:rPr>
                <w:rFonts w:ascii="Times New Roman" w:eastAsia="Times New Roman" w:hAnsi="Times New Roman" w:cs="Times New Roman"/>
                <w:bCs/>
                <w:sz w:val="24"/>
                <w:szCs w:val="24"/>
                <w:lang w:eastAsia="ru-RU"/>
              </w:rPr>
              <w:t>25-28.02.2020 року</w:t>
            </w:r>
            <w:r w:rsidRPr="00636189">
              <w:rPr>
                <w:rFonts w:ascii="Times New Roman" w:eastAsia="Times New Roman" w:hAnsi="Times New Roman" w:cs="Times New Roman"/>
                <w:sz w:val="24"/>
                <w:szCs w:val="24"/>
                <w:lang w:eastAsia="ru-RU"/>
              </w:rPr>
              <w:t xml:space="preserve"> офіційна делегація Вінницької області перебувала у </w:t>
            </w:r>
            <w:proofErr w:type="spellStart"/>
            <w:r w:rsidRPr="00636189">
              <w:rPr>
                <w:rFonts w:ascii="Times New Roman" w:eastAsia="Times New Roman" w:hAnsi="Times New Roman" w:cs="Times New Roman"/>
                <w:sz w:val="24"/>
                <w:szCs w:val="24"/>
                <w:lang w:eastAsia="ru-RU"/>
              </w:rPr>
              <w:t>Сьвєнтокшиському</w:t>
            </w:r>
            <w:proofErr w:type="spellEnd"/>
            <w:r w:rsidRPr="00636189">
              <w:rPr>
                <w:rFonts w:ascii="Times New Roman" w:eastAsia="Times New Roman" w:hAnsi="Times New Roman" w:cs="Times New Roman"/>
                <w:sz w:val="24"/>
                <w:szCs w:val="24"/>
                <w:lang w:eastAsia="ru-RU"/>
              </w:rPr>
              <w:t xml:space="preserve"> воєводстві Республіки Польща. </w:t>
            </w:r>
            <w:r w:rsidRPr="00636189">
              <w:rPr>
                <w:rFonts w:ascii="Times New Roman" w:eastAsia="Times New Roman" w:hAnsi="Times New Roman" w:cs="Times New Roman"/>
                <w:sz w:val="24"/>
                <w:szCs w:val="24"/>
                <w:lang w:val="ru-RU" w:eastAsia="ru-RU"/>
              </w:rPr>
              <w:t xml:space="preserve">Головною метою візиту делегації стало вивчення та перейняття польського досвіду у сфері реалізації державної політики, спрямованої на охорону навколишнього природного середовища та водного господарства, способів використання природних ресурсів та поводження із побутовими відходами. В рамках програми візиту делегати відвідали XXI Міжнародну </w:t>
            </w:r>
            <w:r w:rsidRPr="00636189">
              <w:rPr>
                <w:rFonts w:ascii="Times New Roman" w:eastAsia="Times New Roman" w:hAnsi="Times New Roman" w:cs="Times New Roman"/>
                <w:sz w:val="24"/>
                <w:szCs w:val="24"/>
                <w:lang w:val="ru-RU" w:eastAsia="ru-RU"/>
              </w:rPr>
              <w:lastRenderedPageBreak/>
              <w:t xml:space="preserve">виставку охорони навколишнього середовища і управління відходами EKOTECH - захід, який щороку приваблює найбільші польські та іноземні компанії, пов’язані з комунальною галуззю. </w:t>
            </w:r>
          </w:p>
          <w:p w:rsidR="00636189" w:rsidRPr="00636189" w:rsidRDefault="00636189" w:rsidP="0057566C">
            <w:pPr>
              <w:ind w:firstLine="317"/>
              <w:jc w:val="both"/>
              <w:rPr>
                <w:rFonts w:ascii="Times New Roman" w:eastAsia="Times New Roman" w:hAnsi="Times New Roman" w:cs="Times New Roman"/>
                <w:sz w:val="24"/>
                <w:szCs w:val="24"/>
                <w:lang w:eastAsia="ru-RU"/>
              </w:rPr>
            </w:pPr>
            <w:r w:rsidRPr="00636189">
              <w:rPr>
                <w:rFonts w:ascii="Times New Roman" w:eastAsia="Times New Roman" w:hAnsi="Times New Roman" w:cs="Times New Roman"/>
                <w:bCs/>
                <w:sz w:val="24"/>
                <w:szCs w:val="24"/>
                <w:lang w:eastAsia="ru-RU"/>
              </w:rPr>
              <w:t>18.02.2020 року</w:t>
            </w:r>
            <w:r w:rsidRPr="00636189">
              <w:rPr>
                <w:rFonts w:ascii="Times New Roman" w:eastAsia="Times New Roman" w:hAnsi="Times New Roman" w:cs="Times New Roman"/>
                <w:sz w:val="24"/>
                <w:szCs w:val="24"/>
                <w:lang w:eastAsia="ru-RU"/>
              </w:rPr>
              <w:t xml:space="preserve"> з метою пошуку партнерів для співробітництва та налагодження бізнес контактів відбулась партнерська зустріч регіонального бізнесу із представниками шведських ділових кіл «Шведський бізнес день». Бізнесовий форум організовано Вінницькою обласною державною адміністрацією спільно з Шведською бізнес Асоціацією та Посольством Королівства Швеція в Україні. До складу делегації шведського бізнесу увійшли представники компаній – виробників спеціального обладнання, ґрунтообробної та посівної сільськогосподарської техніки, металевих конструкцій, автотранспорту та медичного обладнання. </w:t>
            </w:r>
          </w:p>
          <w:p w:rsidR="00636189" w:rsidRPr="00636189" w:rsidRDefault="00636189" w:rsidP="0057566C">
            <w:pPr>
              <w:shd w:val="clear" w:color="auto" w:fill="FFFFFF"/>
              <w:tabs>
                <w:tab w:val="left" w:pos="1134"/>
              </w:tabs>
              <w:spacing w:line="235" w:lineRule="atLeast"/>
              <w:ind w:firstLine="317"/>
              <w:jc w:val="both"/>
              <w:rPr>
                <w:rFonts w:ascii="Times New Roman" w:eastAsia="Times New Roman" w:hAnsi="Times New Roman" w:cs="Times New Roman"/>
                <w:sz w:val="24"/>
                <w:szCs w:val="24"/>
                <w:lang w:eastAsia="ru-RU"/>
              </w:rPr>
            </w:pPr>
            <w:r w:rsidRPr="00636189">
              <w:rPr>
                <w:rFonts w:ascii="Times New Roman" w:eastAsia="Times New Roman" w:hAnsi="Times New Roman" w:cs="Times New Roman"/>
                <w:sz w:val="24"/>
                <w:szCs w:val="24"/>
                <w:lang w:eastAsia="ru-RU"/>
              </w:rPr>
              <w:t xml:space="preserve">Також, в області розпочато реалізацію проєкту децентралізованого співробітництва міста Вінниці та Вінницької області із Французькою </w:t>
            </w:r>
            <w:r w:rsidRPr="00636189">
              <w:rPr>
                <w:rFonts w:ascii="Times New Roman" w:eastAsia="Times New Roman" w:hAnsi="Times New Roman" w:cs="Times New Roman"/>
                <w:sz w:val="24"/>
                <w:szCs w:val="24"/>
                <w:lang w:val="ru-RU" w:eastAsia="ru-RU"/>
              </w:rPr>
              <w:t xml:space="preserve">Республікою (регіон Бургундія). </w:t>
            </w:r>
            <w:proofErr w:type="spellStart"/>
            <w:r w:rsidRPr="00636189">
              <w:rPr>
                <w:rFonts w:ascii="Times New Roman" w:eastAsia="Times New Roman" w:hAnsi="Times New Roman" w:cs="Times New Roman"/>
                <w:sz w:val="24"/>
                <w:szCs w:val="24"/>
                <w:lang w:val="ru-RU" w:eastAsia="ru-RU"/>
              </w:rPr>
              <w:t>Проєкт</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передбачає</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співробітництво</w:t>
            </w:r>
            <w:proofErr w:type="spellEnd"/>
            <w:r w:rsidRPr="00636189">
              <w:rPr>
                <w:rFonts w:ascii="Times New Roman" w:eastAsia="Times New Roman" w:hAnsi="Times New Roman" w:cs="Times New Roman"/>
                <w:sz w:val="24"/>
                <w:szCs w:val="24"/>
                <w:lang w:val="ru-RU" w:eastAsia="ru-RU"/>
              </w:rPr>
              <w:t xml:space="preserve"> за </w:t>
            </w:r>
            <w:proofErr w:type="spellStart"/>
            <w:r w:rsidRPr="00636189">
              <w:rPr>
                <w:rFonts w:ascii="Times New Roman" w:eastAsia="Times New Roman" w:hAnsi="Times New Roman" w:cs="Times New Roman"/>
                <w:sz w:val="24"/>
                <w:szCs w:val="24"/>
                <w:lang w:val="ru-RU" w:eastAsia="ru-RU"/>
              </w:rPr>
              <w:t>чотирма</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напрямами</w:t>
            </w:r>
            <w:proofErr w:type="spellEnd"/>
            <w:r w:rsidRPr="00636189">
              <w:rPr>
                <w:rFonts w:ascii="Times New Roman" w:eastAsia="Times New Roman" w:hAnsi="Times New Roman" w:cs="Times New Roman"/>
                <w:sz w:val="24"/>
                <w:szCs w:val="24"/>
                <w:lang w:val="ru-RU" w:eastAsia="ru-RU"/>
              </w:rPr>
              <w:t>:</w:t>
            </w:r>
          </w:p>
          <w:p w:rsidR="00636189" w:rsidRPr="00636189" w:rsidRDefault="00636189" w:rsidP="0057566C">
            <w:pPr>
              <w:shd w:val="clear" w:color="auto" w:fill="FFFFFF"/>
              <w:tabs>
                <w:tab w:val="left" w:pos="1134"/>
              </w:tabs>
              <w:spacing w:line="235" w:lineRule="atLeast"/>
              <w:ind w:firstLine="317"/>
              <w:jc w:val="both"/>
              <w:rPr>
                <w:rFonts w:ascii="Times New Roman" w:eastAsia="Times New Roman" w:hAnsi="Times New Roman" w:cs="Times New Roman"/>
                <w:sz w:val="24"/>
                <w:szCs w:val="24"/>
                <w:lang w:eastAsia="ru-RU"/>
              </w:rPr>
            </w:pPr>
            <w:r w:rsidRPr="00636189">
              <w:rPr>
                <w:rFonts w:ascii="Times New Roman" w:eastAsia="Times New Roman" w:hAnsi="Times New Roman" w:cs="Times New Roman"/>
                <w:sz w:val="24"/>
                <w:szCs w:val="24"/>
                <w:lang w:eastAsia="ru-RU"/>
              </w:rPr>
              <w:t xml:space="preserve">- </w:t>
            </w:r>
            <w:r w:rsidRPr="00636189">
              <w:rPr>
                <w:rFonts w:ascii="Times New Roman" w:eastAsia="Times New Roman" w:hAnsi="Times New Roman" w:cs="Times New Roman"/>
                <w:sz w:val="24"/>
                <w:szCs w:val="24"/>
                <w:lang w:val="ru-RU" w:eastAsia="ru-RU"/>
              </w:rPr>
              <w:t>створення агропромислового кластера;</w:t>
            </w:r>
          </w:p>
          <w:p w:rsidR="00636189" w:rsidRPr="00636189" w:rsidRDefault="00636189" w:rsidP="0057566C">
            <w:pPr>
              <w:shd w:val="clear" w:color="auto" w:fill="FFFFFF"/>
              <w:tabs>
                <w:tab w:val="left" w:pos="1134"/>
              </w:tabs>
              <w:spacing w:line="235" w:lineRule="atLeast"/>
              <w:ind w:firstLine="317"/>
              <w:jc w:val="both"/>
              <w:rPr>
                <w:rFonts w:ascii="Times New Roman" w:eastAsia="Times New Roman" w:hAnsi="Times New Roman" w:cs="Times New Roman"/>
                <w:sz w:val="24"/>
                <w:szCs w:val="24"/>
                <w:lang w:val="ru-RU" w:eastAsia="ru-RU"/>
              </w:rPr>
            </w:pPr>
            <w:r w:rsidRPr="00636189">
              <w:rPr>
                <w:rFonts w:ascii="Times New Roman" w:eastAsia="Times New Roman" w:hAnsi="Times New Roman" w:cs="Times New Roman"/>
                <w:sz w:val="24"/>
                <w:szCs w:val="24"/>
                <w:lang w:val="ru-RU" w:eastAsia="ru-RU"/>
              </w:rPr>
              <w:t>-</w:t>
            </w:r>
            <w:r w:rsidR="00802B03">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створення</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Агрохабу</w:t>
            </w:r>
            <w:proofErr w:type="spellEnd"/>
            <w:r w:rsidRPr="00636189">
              <w:rPr>
                <w:rFonts w:ascii="Times New Roman" w:eastAsia="Times New Roman" w:hAnsi="Times New Roman" w:cs="Times New Roman"/>
                <w:sz w:val="24"/>
                <w:szCs w:val="24"/>
                <w:lang w:val="ru-RU" w:eastAsia="ru-RU"/>
              </w:rPr>
              <w:t xml:space="preserve"> на </w:t>
            </w:r>
            <w:proofErr w:type="spellStart"/>
            <w:r w:rsidRPr="00636189">
              <w:rPr>
                <w:rFonts w:ascii="Times New Roman" w:eastAsia="Times New Roman" w:hAnsi="Times New Roman" w:cs="Times New Roman"/>
                <w:sz w:val="24"/>
                <w:szCs w:val="24"/>
                <w:lang w:val="ru-RU" w:eastAsia="ru-RU"/>
              </w:rPr>
              <w:t>баз</w:t>
            </w:r>
            <w:proofErr w:type="gramStart"/>
            <w:r w:rsidRPr="00636189">
              <w:rPr>
                <w:rFonts w:ascii="Times New Roman" w:eastAsia="Times New Roman" w:hAnsi="Times New Roman" w:cs="Times New Roman"/>
                <w:sz w:val="24"/>
                <w:szCs w:val="24"/>
                <w:lang w:val="ru-RU" w:eastAsia="ru-RU"/>
              </w:rPr>
              <w:t>і</w:t>
            </w:r>
            <w:proofErr w:type="spellEnd"/>
            <w:r w:rsidRPr="00636189">
              <w:rPr>
                <w:rFonts w:ascii="Times New Roman" w:eastAsia="Times New Roman" w:hAnsi="Times New Roman" w:cs="Times New Roman"/>
                <w:sz w:val="24"/>
                <w:szCs w:val="24"/>
                <w:lang w:val="ru-RU" w:eastAsia="ru-RU"/>
              </w:rPr>
              <w:t xml:space="preserve"> В</w:t>
            </w:r>
            <w:proofErr w:type="gramEnd"/>
            <w:r w:rsidRPr="00636189">
              <w:rPr>
                <w:rFonts w:ascii="Times New Roman" w:eastAsia="Times New Roman" w:hAnsi="Times New Roman" w:cs="Times New Roman"/>
                <w:sz w:val="24"/>
                <w:szCs w:val="24"/>
                <w:lang w:val="ru-RU" w:eastAsia="ru-RU"/>
              </w:rPr>
              <w:t>інницького національного аграрного університету;</w:t>
            </w:r>
          </w:p>
          <w:p w:rsidR="00636189" w:rsidRPr="00636189" w:rsidRDefault="00636189" w:rsidP="0057566C">
            <w:pPr>
              <w:shd w:val="clear" w:color="auto" w:fill="FFFFFF"/>
              <w:tabs>
                <w:tab w:val="left" w:pos="993"/>
              </w:tabs>
              <w:spacing w:line="235" w:lineRule="atLeast"/>
              <w:ind w:firstLine="317"/>
              <w:jc w:val="both"/>
              <w:rPr>
                <w:rFonts w:ascii="Times New Roman" w:eastAsia="Times New Roman" w:hAnsi="Times New Roman" w:cs="Times New Roman"/>
                <w:sz w:val="24"/>
                <w:szCs w:val="24"/>
                <w:lang w:val="ru-RU" w:eastAsia="ru-RU"/>
              </w:rPr>
            </w:pPr>
            <w:r w:rsidRPr="00636189">
              <w:rPr>
                <w:rFonts w:ascii="Times New Roman" w:eastAsia="Times New Roman" w:hAnsi="Times New Roman" w:cs="Times New Roman"/>
                <w:sz w:val="24"/>
                <w:szCs w:val="24"/>
                <w:lang w:val="ru-RU" w:eastAsia="ru-RU"/>
              </w:rPr>
              <w:t>- проведення технічної експертизи для модернізації мережі водопостачання та водовідведення м. Вінниці;</w:t>
            </w:r>
          </w:p>
          <w:p w:rsidR="00636189" w:rsidRPr="00636189" w:rsidRDefault="00636189" w:rsidP="0057566C">
            <w:pPr>
              <w:shd w:val="clear" w:color="auto" w:fill="FFFFFF"/>
              <w:tabs>
                <w:tab w:val="left" w:pos="993"/>
              </w:tabs>
              <w:spacing w:line="235" w:lineRule="atLeast"/>
              <w:ind w:firstLine="317"/>
              <w:jc w:val="both"/>
              <w:rPr>
                <w:rFonts w:ascii="Times New Roman" w:eastAsia="Times New Roman" w:hAnsi="Times New Roman" w:cs="Times New Roman"/>
                <w:sz w:val="24"/>
                <w:szCs w:val="24"/>
                <w:lang w:val="ru-RU" w:eastAsia="ru-RU"/>
              </w:rPr>
            </w:pPr>
            <w:r w:rsidRPr="00636189">
              <w:rPr>
                <w:rFonts w:ascii="Times New Roman" w:eastAsia="Times New Roman" w:hAnsi="Times New Roman" w:cs="Times New Roman"/>
                <w:sz w:val="24"/>
                <w:szCs w:val="24"/>
                <w:lang w:val="ru-RU" w:eastAsia="ru-RU"/>
              </w:rPr>
              <w:t>- налагодження співпраці в управлінні водними ресурсами в сільському господарстві та вирощування органічних культур.</w:t>
            </w:r>
          </w:p>
          <w:p w:rsidR="00636189" w:rsidRPr="00636189" w:rsidRDefault="00636189" w:rsidP="0057566C">
            <w:pPr>
              <w:shd w:val="clear" w:color="auto" w:fill="FFFFFF"/>
              <w:spacing w:line="235" w:lineRule="atLeast"/>
              <w:ind w:firstLine="317"/>
              <w:jc w:val="both"/>
              <w:rPr>
                <w:rFonts w:ascii="Times New Roman" w:eastAsia="Times New Roman" w:hAnsi="Times New Roman" w:cs="Times New Roman"/>
                <w:sz w:val="24"/>
                <w:szCs w:val="24"/>
                <w:lang w:val="ru-RU" w:eastAsia="ru-RU"/>
              </w:rPr>
            </w:pPr>
            <w:r w:rsidRPr="00636189">
              <w:rPr>
                <w:rFonts w:ascii="Times New Roman" w:eastAsia="Times New Roman" w:hAnsi="Times New Roman" w:cs="Times New Roman"/>
                <w:sz w:val="24"/>
                <w:szCs w:val="24"/>
                <w:lang w:val="ru-RU" w:eastAsia="ru-RU"/>
              </w:rPr>
              <w:t xml:space="preserve">9-10 </w:t>
            </w:r>
            <w:proofErr w:type="spellStart"/>
            <w:r w:rsidRPr="00636189">
              <w:rPr>
                <w:rFonts w:ascii="Times New Roman" w:eastAsia="Times New Roman" w:hAnsi="Times New Roman" w:cs="Times New Roman"/>
                <w:sz w:val="24"/>
                <w:szCs w:val="24"/>
                <w:lang w:val="ru-RU" w:eastAsia="ru-RU"/>
              </w:rPr>
              <w:t>грудня</w:t>
            </w:r>
            <w:proofErr w:type="spellEnd"/>
            <w:r w:rsidRPr="00636189">
              <w:rPr>
                <w:rFonts w:ascii="Times New Roman" w:eastAsia="Times New Roman" w:hAnsi="Times New Roman" w:cs="Times New Roman"/>
                <w:sz w:val="24"/>
                <w:szCs w:val="24"/>
                <w:lang w:val="ru-RU" w:eastAsia="ru-RU"/>
              </w:rPr>
              <w:t xml:space="preserve"> </w:t>
            </w:r>
            <w:r w:rsidRPr="00636189">
              <w:rPr>
                <w:rFonts w:ascii="Times New Roman" w:eastAsia="Times New Roman" w:hAnsi="Times New Roman" w:cs="Times New Roman"/>
                <w:sz w:val="24"/>
                <w:szCs w:val="24"/>
                <w:lang w:eastAsia="ru-RU"/>
              </w:rPr>
              <w:t xml:space="preserve">2020 року </w:t>
            </w:r>
            <w:proofErr w:type="spellStart"/>
            <w:r w:rsidRPr="00636189">
              <w:rPr>
                <w:rFonts w:ascii="Times New Roman" w:eastAsia="Times New Roman" w:hAnsi="Times New Roman" w:cs="Times New Roman"/>
                <w:sz w:val="24"/>
                <w:szCs w:val="24"/>
                <w:lang w:val="ru-RU" w:eastAsia="ru-RU"/>
              </w:rPr>
              <w:t>делегація</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представників</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компанії</w:t>
            </w:r>
            <w:proofErr w:type="spellEnd"/>
            <w:r w:rsidRPr="00636189">
              <w:rPr>
                <w:rFonts w:ascii="Times New Roman" w:eastAsia="Times New Roman" w:hAnsi="Times New Roman" w:cs="Times New Roman"/>
                <w:sz w:val="24"/>
                <w:szCs w:val="24"/>
                <w:lang w:val="ru-RU" w:eastAsia="ru-RU"/>
              </w:rPr>
              <w:t xml:space="preserve"> BETEN </w:t>
            </w:r>
            <w:proofErr w:type="spellStart"/>
            <w:r w:rsidRPr="00636189">
              <w:rPr>
                <w:rFonts w:ascii="Times New Roman" w:eastAsia="Times New Roman" w:hAnsi="Times New Roman" w:cs="Times New Roman"/>
                <w:sz w:val="24"/>
                <w:szCs w:val="24"/>
                <w:lang w:val="ru-RU" w:eastAsia="ru-RU"/>
              </w:rPr>
              <w:t>Ingenierie</w:t>
            </w:r>
            <w:proofErr w:type="spellEnd"/>
            <w:r w:rsidRPr="00636189">
              <w:rPr>
                <w:rFonts w:ascii="Times New Roman" w:eastAsia="Times New Roman" w:hAnsi="Times New Roman" w:cs="Times New Roman"/>
                <w:sz w:val="24"/>
                <w:szCs w:val="24"/>
                <w:lang w:val="ru-RU" w:eastAsia="ru-RU"/>
              </w:rPr>
              <w:t xml:space="preserve">, яка </w:t>
            </w:r>
            <w:proofErr w:type="spellStart"/>
            <w:r w:rsidRPr="00636189">
              <w:rPr>
                <w:rFonts w:ascii="Times New Roman" w:eastAsia="Times New Roman" w:hAnsi="Times New Roman" w:cs="Times New Roman"/>
                <w:sz w:val="24"/>
                <w:szCs w:val="24"/>
                <w:lang w:val="ru-RU" w:eastAsia="ru-RU"/>
              </w:rPr>
              <w:t>здійснює</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управління</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проєктом</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відвідала</w:t>
            </w:r>
            <w:proofErr w:type="spellEnd"/>
            <w:proofErr w:type="gramStart"/>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В</w:t>
            </w:r>
            <w:proofErr w:type="gramEnd"/>
            <w:r w:rsidRPr="00636189">
              <w:rPr>
                <w:rFonts w:ascii="Times New Roman" w:eastAsia="Times New Roman" w:hAnsi="Times New Roman" w:cs="Times New Roman"/>
                <w:sz w:val="24"/>
                <w:szCs w:val="24"/>
                <w:lang w:val="ru-RU" w:eastAsia="ru-RU"/>
              </w:rPr>
              <w:t>інниччину</w:t>
            </w:r>
            <w:proofErr w:type="spellEnd"/>
            <w:r w:rsidRPr="00636189">
              <w:rPr>
                <w:rFonts w:ascii="Times New Roman" w:eastAsia="Times New Roman" w:hAnsi="Times New Roman" w:cs="Times New Roman"/>
                <w:sz w:val="24"/>
                <w:szCs w:val="24"/>
                <w:lang w:val="ru-RU" w:eastAsia="ru-RU"/>
              </w:rPr>
              <w:t xml:space="preserve">. В ході дводенного </w:t>
            </w:r>
            <w:proofErr w:type="spellStart"/>
            <w:r w:rsidRPr="00636189">
              <w:rPr>
                <w:rFonts w:ascii="Times New Roman" w:eastAsia="Times New Roman" w:hAnsi="Times New Roman" w:cs="Times New Roman"/>
                <w:sz w:val="24"/>
                <w:szCs w:val="24"/>
                <w:lang w:val="ru-RU" w:eastAsia="ru-RU"/>
              </w:rPr>
              <w:t>візиту</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відповідно</w:t>
            </w:r>
            <w:proofErr w:type="spellEnd"/>
            <w:r w:rsidRPr="00636189">
              <w:rPr>
                <w:rFonts w:ascii="Times New Roman" w:eastAsia="Times New Roman" w:hAnsi="Times New Roman" w:cs="Times New Roman"/>
                <w:sz w:val="24"/>
                <w:szCs w:val="24"/>
                <w:lang w:val="ru-RU" w:eastAsia="ru-RU"/>
              </w:rPr>
              <w:t xml:space="preserve"> до </w:t>
            </w:r>
            <w:proofErr w:type="spellStart"/>
            <w:r w:rsidRPr="00636189">
              <w:rPr>
                <w:rFonts w:ascii="Times New Roman" w:eastAsia="Times New Roman" w:hAnsi="Times New Roman" w:cs="Times New Roman"/>
                <w:sz w:val="24"/>
                <w:szCs w:val="24"/>
                <w:lang w:val="ru-RU" w:eastAsia="ru-RU"/>
              </w:rPr>
              <w:t>передбачених</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напрямів</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співпраці</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відбулось</w:t>
            </w:r>
            <w:proofErr w:type="spellEnd"/>
            <w:r w:rsidRPr="00636189">
              <w:rPr>
                <w:rFonts w:ascii="Times New Roman" w:eastAsia="Times New Roman" w:hAnsi="Times New Roman" w:cs="Times New Roman"/>
                <w:sz w:val="24"/>
                <w:szCs w:val="24"/>
                <w:lang w:val="ru-RU" w:eastAsia="ru-RU"/>
              </w:rPr>
              <w:t xml:space="preserve"> 4 </w:t>
            </w:r>
            <w:proofErr w:type="spellStart"/>
            <w:r w:rsidR="00802B03">
              <w:rPr>
                <w:rFonts w:ascii="Times New Roman" w:eastAsia="Times New Roman" w:hAnsi="Times New Roman" w:cs="Times New Roman"/>
                <w:sz w:val="24"/>
                <w:szCs w:val="24"/>
                <w:lang w:val="ru-RU" w:eastAsia="ru-RU"/>
              </w:rPr>
              <w:t>робочих</w:t>
            </w:r>
            <w:proofErr w:type="spellEnd"/>
            <w:r w:rsidR="00802B03">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зустрічі</w:t>
            </w:r>
            <w:proofErr w:type="spellEnd"/>
            <w:r w:rsidR="00802B03">
              <w:rPr>
                <w:rFonts w:ascii="Times New Roman" w:eastAsia="Times New Roman" w:hAnsi="Times New Roman" w:cs="Times New Roman"/>
                <w:sz w:val="24"/>
                <w:szCs w:val="24"/>
                <w:lang w:val="ru-RU" w:eastAsia="ru-RU"/>
              </w:rPr>
              <w:t>,</w:t>
            </w:r>
            <w:r w:rsidRPr="00636189">
              <w:rPr>
                <w:rFonts w:ascii="Times New Roman" w:eastAsia="Times New Roman" w:hAnsi="Times New Roman" w:cs="Times New Roman"/>
                <w:sz w:val="24"/>
                <w:szCs w:val="24"/>
                <w:lang w:val="ru-RU" w:eastAsia="ru-RU"/>
              </w:rPr>
              <w:t xml:space="preserve"> </w:t>
            </w:r>
            <w:proofErr w:type="spellStart"/>
            <w:proofErr w:type="gramStart"/>
            <w:r w:rsidR="00802B03">
              <w:rPr>
                <w:rFonts w:ascii="Times New Roman" w:eastAsia="Times New Roman" w:hAnsi="Times New Roman" w:cs="Times New Roman"/>
                <w:sz w:val="24"/>
                <w:szCs w:val="24"/>
                <w:lang w:val="ru-RU" w:eastAsia="ru-RU"/>
              </w:rPr>
              <w:t>п</w:t>
            </w:r>
            <w:proofErr w:type="gramEnd"/>
            <w:r w:rsidRPr="00636189">
              <w:rPr>
                <w:rFonts w:ascii="Times New Roman" w:eastAsia="Times New Roman" w:hAnsi="Times New Roman" w:cs="Times New Roman"/>
                <w:sz w:val="24"/>
                <w:szCs w:val="24"/>
                <w:lang w:val="ru-RU" w:eastAsia="ru-RU"/>
              </w:rPr>
              <w:t>ід</w:t>
            </w:r>
            <w:proofErr w:type="spellEnd"/>
            <w:r w:rsidRPr="00636189">
              <w:rPr>
                <w:rFonts w:ascii="Times New Roman" w:eastAsia="Times New Roman" w:hAnsi="Times New Roman" w:cs="Times New Roman"/>
                <w:sz w:val="24"/>
                <w:szCs w:val="24"/>
                <w:lang w:val="ru-RU" w:eastAsia="ru-RU"/>
              </w:rPr>
              <w:t xml:space="preserve"> час </w:t>
            </w:r>
            <w:proofErr w:type="spellStart"/>
            <w:r w:rsidR="00802B03">
              <w:rPr>
                <w:rFonts w:ascii="Times New Roman" w:eastAsia="Times New Roman" w:hAnsi="Times New Roman" w:cs="Times New Roman"/>
                <w:sz w:val="24"/>
                <w:szCs w:val="24"/>
                <w:lang w:val="ru-RU" w:eastAsia="ru-RU"/>
              </w:rPr>
              <w:t>яких</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обговор</w:t>
            </w:r>
            <w:r w:rsidR="00802B03">
              <w:rPr>
                <w:rFonts w:ascii="Times New Roman" w:eastAsia="Times New Roman" w:hAnsi="Times New Roman" w:cs="Times New Roman"/>
                <w:sz w:val="24"/>
                <w:szCs w:val="24"/>
                <w:lang w:val="ru-RU" w:eastAsia="ru-RU"/>
              </w:rPr>
              <w:t>ювались</w:t>
            </w:r>
            <w:proofErr w:type="spellEnd"/>
            <w:r w:rsidR="00802B03">
              <w:rPr>
                <w:rFonts w:ascii="Times New Roman" w:eastAsia="Times New Roman" w:hAnsi="Times New Roman" w:cs="Times New Roman"/>
                <w:sz w:val="24"/>
                <w:szCs w:val="24"/>
                <w:lang w:val="ru-RU" w:eastAsia="ru-RU"/>
              </w:rPr>
              <w:t xml:space="preserve"> </w:t>
            </w:r>
            <w:proofErr w:type="spellStart"/>
            <w:r w:rsidR="00802B03">
              <w:rPr>
                <w:rFonts w:ascii="Times New Roman" w:eastAsia="Times New Roman" w:hAnsi="Times New Roman" w:cs="Times New Roman"/>
                <w:sz w:val="24"/>
                <w:szCs w:val="24"/>
                <w:lang w:val="ru-RU" w:eastAsia="ru-RU"/>
              </w:rPr>
              <w:t>питання</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реалізації</w:t>
            </w:r>
            <w:proofErr w:type="spellEnd"/>
            <w:r w:rsidRPr="00636189">
              <w:rPr>
                <w:rFonts w:ascii="Times New Roman" w:eastAsia="Times New Roman" w:hAnsi="Times New Roman" w:cs="Times New Roman"/>
                <w:sz w:val="24"/>
                <w:szCs w:val="24"/>
                <w:lang w:val="ru-RU" w:eastAsia="ru-RU"/>
              </w:rPr>
              <w:t xml:space="preserve"> </w:t>
            </w:r>
            <w:proofErr w:type="spellStart"/>
            <w:r w:rsidR="00802B03">
              <w:rPr>
                <w:rFonts w:ascii="Times New Roman" w:eastAsia="Times New Roman" w:hAnsi="Times New Roman" w:cs="Times New Roman"/>
                <w:sz w:val="24"/>
                <w:szCs w:val="24"/>
                <w:lang w:val="ru-RU" w:eastAsia="ru-RU"/>
              </w:rPr>
              <w:t>проєкту</w:t>
            </w:r>
            <w:proofErr w:type="spellEnd"/>
            <w:r w:rsidR="00802B03">
              <w:rPr>
                <w:rFonts w:ascii="Times New Roman" w:eastAsia="Times New Roman" w:hAnsi="Times New Roman" w:cs="Times New Roman"/>
                <w:sz w:val="24"/>
                <w:szCs w:val="24"/>
                <w:lang w:val="ru-RU" w:eastAsia="ru-RU"/>
              </w:rPr>
              <w:t xml:space="preserve"> </w:t>
            </w:r>
            <w:r w:rsidRPr="00636189">
              <w:rPr>
                <w:rFonts w:ascii="Times New Roman" w:eastAsia="Times New Roman" w:hAnsi="Times New Roman" w:cs="Times New Roman"/>
                <w:sz w:val="24"/>
                <w:szCs w:val="24"/>
                <w:lang w:val="ru-RU" w:eastAsia="ru-RU"/>
              </w:rPr>
              <w:t xml:space="preserve">за </w:t>
            </w:r>
            <w:proofErr w:type="spellStart"/>
            <w:r w:rsidRPr="00636189">
              <w:rPr>
                <w:rFonts w:ascii="Times New Roman" w:eastAsia="Times New Roman" w:hAnsi="Times New Roman" w:cs="Times New Roman"/>
                <w:sz w:val="24"/>
                <w:szCs w:val="24"/>
                <w:lang w:val="ru-RU" w:eastAsia="ru-RU"/>
              </w:rPr>
              <w:t>кожним</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напрямом</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цілі</w:t>
            </w:r>
            <w:proofErr w:type="spellEnd"/>
            <w:r w:rsidRPr="00636189">
              <w:rPr>
                <w:rFonts w:ascii="Times New Roman" w:eastAsia="Times New Roman" w:hAnsi="Times New Roman" w:cs="Times New Roman"/>
                <w:sz w:val="24"/>
                <w:szCs w:val="24"/>
                <w:lang w:val="ru-RU" w:eastAsia="ru-RU"/>
              </w:rPr>
              <w:t xml:space="preserve"> та </w:t>
            </w:r>
            <w:proofErr w:type="spellStart"/>
            <w:r w:rsidRPr="00636189">
              <w:rPr>
                <w:rFonts w:ascii="Times New Roman" w:eastAsia="Times New Roman" w:hAnsi="Times New Roman" w:cs="Times New Roman"/>
                <w:sz w:val="24"/>
                <w:szCs w:val="24"/>
                <w:lang w:val="ru-RU" w:eastAsia="ru-RU"/>
              </w:rPr>
              <w:t>умови</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співпраці</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найближчі</w:t>
            </w:r>
            <w:proofErr w:type="spellEnd"/>
            <w:r w:rsidRPr="00636189">
              <w:rPr>
                <w:rFonts w:ascii="Times New Roman" w:eastAsia="Times New Roman" w:hAnsi="Times New Roman" w:cs="Times New Roman"/>
                <w:sz w:val="24"/>
                <w:szCs w:val="24"/>
                <w:lang w:val="ru-RU" w:eastAsia="ru-RU"/>
              </w:rPr>
              <w:t xml:space="preserve"> кроки та </w:t>
            </w:r>
            <w:proofErr w:type="spellStart"/>
            <w:r w:rsidR="00802B03">
              <w:rPr>
                <w:rFonts w:ascii="Times New Roman" w:eastAsia="Times New Roman" w:hAnsi="Times New Roman" w:cs="Times New Roman"/>
                <w:sz w:val="24"/>
                <w:szCs w:val="24"/>
                <w:lang w:val="ru-RU" w:eastAsia="ru-RU"/>
              </w:rPr>
              <w:t>очікувані</w:t>
            </w:r>
            <w:proofErr w:type="spellEnd"/>
            <w:r w:rsidR="00802B03">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результати</w:t>
            </w:r>
            <w:proofErr w:type="spellEnd"/>
            <w:r w:rsidRPr="00636189">
              <w:rPr>
                <w:rFonts w:ascii="Times New Roman" w:eastAsia="Times New Roman" w:hAnsi="Times New Roman" w:cs="Times New Roman"/>
                <w:sz w:val="24"/>
                <w:szCs w:val="24"/>
                <w:lang w:val="ru-RU" w:eastAsia="ru-RU"/>
              </w:rPr>
              <w:t>.</w:t>
            </w:r>
          </w:p>
          <w:p w:rsidR="00636189" w:rsidRPr="00636189" w:rsidRDefault="00636189" w:rsidP="00802B03">
            <w:pPr>
              <w:shd w:val="clear" w:color="auto" w:fill="FFFFFF"/>
              <w:tabs>
                <w:tab w:val="left" w:pos="1134"/>
              </w:tabs>
              <w:spacing w:line="235" w:lineRule="atLeast"/>
              <w:ind w:firstLine="317"/>
              <w:jc w:val="both"/>
              <w:rPr>
                <w:rFonts w:ascii="Times New Roman" w:eastAsia="Times New Roman" w:hAnsi="Times New Roman" w:cs="Times New Roman"/>
                <w:color w:val="000000"/>
                <w:sz w:val="24"/>
                <w:szCs w:val="24"/>
                <w:lang w:eastAsia="ru-RU"/>
              </w:rPr>
            </w:pPr>
            <w:r w:rsidRPr="00636189">
              <w:rPr>
                <w:rFonts w:ascii="Times New Roman" w:eastAsia="Times New Roman" w:hAnsi="Times New Roman" w:cs="Times New Roman"/>
                <w:sz w:val="24"/>
                <w:szCs w:val="24"/>
                <w:lang w:eastAsia="ru-RU"/>
              </w:rPr>
              <w:t>Реалізація цього проєкту дозволить місту Вінниця та Вінницькій області розвинути свою економічну та інвестиційну діяльність в агропромисловій сфері, здобути визнання в якості інноваційного й динамічного регіону з потужним інвестиційним потенціалом.</w:t>
            </w:r>
            <w:r w:rsidR="00802B03">
              <w:rPr>
                <w:rFonts w:ascii="Times New Roman" w:eastAsia="Times New Roman" w:hAnsi="Times New Roman" w:cs="Times New Roman"/>
                <w:sz w:val="24"/>
                <w:szCs w:val="24"/>
                <w:lang w:eastAsia="ru-RU"/>
              </w:rPr>
              <w:t xml:space="preserve"> </w:t>
            </w:r>
            <w:r w:rsidRPr="00636189">
              <w:rPr>
                <w:rFonts w:ascii="Times New Roman" w:eastAsia="Times New Roman" w:hAnsi="Times New Roman" w:cs="Times New Roman"/>
                <w:color w:val="000000"/>
                <w:sz w:val="24"/>
                <w:szCs w:val="24"/>
                <w:lang w:eastAsia="ru-RU"/>
              </w:rPr>
              <w:t xml:space="preserve">На реалізацію </w:t>
            </w:r>
            <w:proofErr w:type="spellStart"/>
            <w:r w:rsidRPr="00636189">
              <w:rPr>
                <w:rFonts w:ascii="Times New Roman" w:eastAsia="Times New Roman" w:hAnsi="Times New Roman" w:cs="Times New Roman"/>
                <w:color w:val="000000"/>
                <w:sz w:val="24"/>
                <w:szCs w:val="24"/>
                <w:lang w:eastAsia="ru-RU"/>
              </w:rPr>
              <w:t>проєкту</w:t>
            </w:r>
            <w:proofErr w:type="spellEnd"/>
            <w:r w:rsidRPr="00636189">
              <w:rPr>
                <w:rFonts w:ascii="Times New Roman" w:eastAsia="Times New Roman" w:hAnsi="Times New Roman" w:cs="Times New Roman"/>
                <w:color w:val="000000"/>
                <w:sz w:val="24"/>
                <w:szCs w:val="24"/>
                <w:lang w:eastAsia="ru-RU"/>
              </w:rPr>
              <w:t xml:space="preserve"> децентралізованого співробітництва МЗС Франції виділено 296,0 тис. євро.</w:t>
            </w:r>
          </w:p>
          <w:p w:rsidR="00636189" w:rsidRPr="00636189" w:rsidRDefault="00802B03" w:rsidP="0057566C">
            <w:pPr>
              <w:shd w:val="clear" w:color="auto" w:fill="FFFFFF"/>
              <w:spacing w:line="235" w:lineRule="atLeast"/>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636189" w:rsidRPr="00636189">
              <w:rPr>
                <w:rFonts w:ascii="Times New Roman" w:eastAsia="Times New Roman" w:hAnsi="Times New Roman" w:cs="Times New Roman"/>
                <w:sz w:val="24"/>
                <w:szCs w:val="24"/>
                <w:lang w:eastAsia="ru-RU"/>
              </w:rPr>
              <w:t>а території області впродовж ІІ-І</w:t>
            </w:r>
            <w:r w:rsidR="00636189" w:rsidRPr="00636189">
              <w:rPr>
                <w:rFonts w:ascii="Times New Roman" w:eastAsia="Times New Roman" w:hAnsi="Times New Roman" w:cs="Times New Roman"/>
                <w:sz w:val="24"/>
                <w:szCs w:val="24"/>
                <w:lang w:val="ru-RU" w:eastAsia="ru-RU"/>
              </w:rPr>
              <w:t>V</w:t>
            </w:r>
            <w:r w:rsidR="00636189" w:rsidRPr="00636189">
              <w:rPr>
                <w:rFonts w:ascii="Times New Roman" w:eastAsia="Times New Roman" w:hAnsi="Times New Roman" w:cs="Times New Roman"/>
                <w:sz w:val="24"/>
                <w:szCs w:val="24"/>
                <w:lang w:eastAsia="ru-RU"/>
              </w:rPr>
              <w:t xml:space="preserve"> кварталу 2020 року проводився конкурс «Золота ділянка 2020» в рамках проєкту Польської допомоги задля розвитку «Підвищення конкурентоспроможності українських регіонів та розвиток польсько-українського економічного співробітництва» з метою визначення найкращих інвестиційних ділянок у Вінницькій області для підвищення спроможності громад залучати вітчизняні та іноземні інвестиції. </w:t>
            </w:r>
          </w:p>
          <w:p w:rsidR="004E6750" w:rsidRPr="0072723E" w:rsidRDefault="00636189" w:rsidP="00E70A88">
            <w:pPr>
              <w:shd w:val="clear" w:color="auto" w:fill="FFFFFF"/>
              <w:spacing w:line="235" w:lineRule="atLeast"/>
              <w:ind w:firstLine="317"/>
              <w:jc w:val="both"/>
              <w:rPr>
                <w:rFonts w:ascii="Times New Roman" w:hAnsi="Times New Roman" w:cs="Times New Roman"/>
                <w:sz w:val="24"/>
                <w:szCs w:val="24"/>
                <w:lang w:val="ru-RU"/>
              </w:rPr>
            </w:pPr>
            <w:r w:rsidRPr="00636189">
              <w:rPr>
                <w:rFonts w:ascii="Times New Roman" w:eastAsia="Times New Roman" w:hAnsi="Times New Roman" w:cs="Times New Roman"/>
                <w:sz w:val="24"/>
                <w:szCs w:val="24"/>
                <w:lang w:eastAsia="ru-RU"/>
              </w:rPr>
              <w:t xml:space="preserve">Переможцем Конкурсу оголошено Вінницьку міську громаду з інвестиційною ділянкою в межах Вінницького індустріального парку. </w:t>
            </w:r>
            <w:r w:rsidRPr="00636189">
              <w:rPr>
                <w:rFonts w:ascii="Times New Roman" w:eastAsia="Times New Roman" w:hAnsi="Times New Roman" w:cs="Times New Roman"/>
                <w:sz w:val="24"/>
                <w:szCs w:val="24"/>
                <w:lang w:val="ru-RU" w:eastAsia="ru-RU"/>
              </w:rPr>
              <w:t>24</w:t>
            </w:r>
            <w:r w:rsidRPr="00636189">
              <w:rPr>
                <w:rFonts w:ascii="Times New Roman" w:eastAsia="Times New Roman" w:hAnsi="Times New Roman" w:cs="Times New Roman"/>
                <w:sz w:val="24"/>
                <w:szCs w:val="24"/>
                <w:lang w:eastAsia="ru-RU"/>
              </w:rPr>
              <w:t>.11.2020 року</w:t>
            </w:r>
            <w:r w:rsidRPr="00636189">
              <w:rPr>
                <w:rFonts w:ascii="Times New Roman" w:eastAsia="Times New Roman" w:hAnsi="Times New Roman" w:cs="Times New Roman"/>
                <w:sz w:val="24"/>
                <w:szCs w:val="24"/>
                <w:lang w:val="ru-RU" w:eastAsia="ru-RU"/>
              </w:rPr>
              <w:t xml:space="preserve"> </w:t>
            </w:r>
            <w:proofErr w:type="gramStart"/>
            <w:r w:rsidRPr="00636189">
              <w:rPr>
                <w:rFonts w:ascii="Times New Roman" w:eastAsia="Times New Roman" w:hAnsi="Times New Roman" w:cs="Times New Roman"/>
                <w:sz w:val="24"/>
                <w:szCs w:val="24"/>
                <w:lang w:val="ru-RU" w:eastAsia="ru-RU"/>
              </w:rPr>
              <w:t>вс</w:t>
            </w:r>
            <w:proofErr w:type="gramEnd"/>
            <w:r w:rsidRPr="00636189">
              <w:rPr>
                <w:rFonts w:ascii="Times New Roman" w:eastAsia="Times New Roman" w:hAnsi="Times New Roman" w:cs="Times New Roman"/>
                <w:sz w:val="24"/>
                <w:szCs w:val="24"/>
                <w:lang w:val="ru-RU" w:eastAsia="ru-RU"/>
              </w:rPr>
              <w:t xml:space="preserve">і учасники Конкурсу брали участь в навчальному онлайн-тренінгу «Симуляція візиту іноземного </w:t>
            </w:r>
            <w:r w:rsidRPr="00636189">
              <w:rPr>
                <w:rFonts w:ascii="Times New Roman" w:eastAsia="Times New Roman" w:hAnsi="Times New Roman" w:cs="Times New Roman"/>
                <w:sz w:val="24"/>
                <w:szCs w:val="24"/>
                <w:lang w:val="ru-RU" w:eastAsia="ru-RU"/>
              </w:rPr>
              <w:lastRenderedPageBreak/>
              <w:t xml:space="preserve">інвестора» за участю Директора Центру стратегічних інвестицій Польської Агенції Інвестицій і Торгівлі Яна Камойі-Чапіньскі. Під час заходу відбувалась двостороння робота експерта з учасниками-фіналістами Конкурсу, в </w:t>
            </w:r>
            <w:proofErr w:type="spellStart"/>
            <w:r w:rsidRPr="00636189">
              <w:rPr>
                <w:rFonts w:ascii="Times New Roman" w:eastAsia="Times New Roman" w:hAnsi="Times New Roman" w:cs="Times New Roman"/>
                <w:sz w:val="24"/>
                <w:szCs w:val="24"/>
                <w:lang w:val="ru-RU" w:eastAsia="ru-RU"/>
              </w:rPr>
              <w:t>ході</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якої</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відпрацьовувались</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навички</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презентації</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земельної</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ділянки</w:t>
            </w:r>
            <w:proofErr w:type="spellEnd"/>
            <w:r w:rsidRPr="00636189">
              <w:rPr>
                <w:rFonts w:ascii="Times New Roman" w:eastAsia="Times New Roman" w:hAnsi="Times New Roman" w:cs="Times New Roman"/>
                <w:sz w:val="24"/>
                <w:szCs w:val="24"/>
                <w:lang w:val="ru-RU" w:eastAsia="ru-RU"/>
              </w:rPr>
              <w:t xml:space="preserve"> для </w:t>
            </w:r>
            <w:proofErr w:type="spellStart"/>
            <w:r w:rsidRPr="00636189">
              <w:rPr>
                <w:rFonts w:ascii="Times New Roman" w:eastAsia="Times New Roman" w:hAnsi="Times New Roman" w:cs="Times New Roman"/>
                <w:sz w:val="24"/>
                <w:szCs w:val="24"/>
                <w:lang w:val="ru-RU" w:eastAsia="ru-RU"/>
              </w:rPr>
              <w:t>потенційного</w:t>
            </w:r>
            <w:proofErr w:type="spellEnd"/>
            <w:r w:rsidRPr="00636189">
              <w:rPr>
                <w:rFonts w:ascii="Times New Roman" w:eastAsia="Times New Roman" w:hAnsi="Times New Roman" w:cs="Times New Roman"/>
                <w:sz w:val="24"/>
                <w:szCs w:val="24"/>
                <w:lang w:val="ru-RU" w:eastAsia="ru-RU"/>
              </w:rPr>
              <w:t xml:space="preserve"> </w:t>
            </w:r>
            <w:proofErr w:type="spellStart"/>
            <w:r w:rsidRPr="00636189">
              <w:rPr>
                <w:rFonts w:ascii="Times New Roman" w:eastAsia="Times New Roman" w:hAnsi="Times New Roman" w:cs="Times New Roman"/>
                <w:sz w:val="24"/>
                <w:szCs w:val="24"/>
                <w:lang w:val="ru-RU" w:eastAsia="ru-RU"/>
              </w:rPr>
              <w:t>інвестора</w:t>
            </w:r>
            <w:proofErr w:type="spellEnd"/>
            <w:r w:rsidRPr="00636189">
              <w:rPr>
                <w:rFonts w:ascii="Times New Roman" w:eastAsia="Times New Roman" w:hAnsi="Times New Roman" w:cs="Times New Roman"/>
                <w:sz w:val="24"/>
                <w:szCs w:val="24"/>
                <w:lang w:val="ru-RU" w:eastAsia="ru-RU"/>
              </w:rPr>
              <w:t>.</w:t>
            </w:r>
          </w:p>
        </w:tc>
      </w:tr>
      <w:tr w:rsidR="00752722" w:rsidRPr="0072723E" w:rsidTr="00FA54EC">
        <w:tc>
          <w:tcPr>
            <w:tcW w:w="709" w:type="dxa"/>
          </w:tcPr>
          <w:p w:rsidR="00752722" w:rsidRPr="0072723E" w:rsidRDefault="00752722" w:rsidP="00AD1D6D">
            <w:pPr>
              <w:tabs>
                <w:tab w:val="left" w:pos="0"/>
              </w:tabs>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2552" w:type="dxa"/>
            <w:vMerge w:val="restart"/>
          </w:tcPr>
          <w:p w:rsidR="00752722" w:rsidRPr="0072723E" w:rsidRDefault="00752722"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lang w:val="uk-UA"/>
              </w:rPr>
              <w:t>Освіта та інформаційно-консультаційне забезпечення</w:t>
            </w:r>
          </w:p>
        </w:tc>
        <w:tc>
          <w:tcPr>
            <w:tcW w:w="3260" w:type="dxa"/>
          </w:tcPr>
          <w:p w:rsidR="00752722" w:rsidRPr="0072723E" w:rsidRDefault="00752722" w:rsidP="00AD1D6D">
            <w:pPr>
              <w:pStyle w:val="rvps14"/>
              <w:spacing w:before="0" w:beforeAutospacing="0" w:after="0" w:afterAutospacing="0"/>
              <w:textAlignment w:val="baseline"/>
              <w:rPr>
                <w:color w:val="000000"/>
                <w:shd w:val="clear" w:color="auto" w:fill="FFFFFF"/>
                <w:lang w:val="uk-UA"/>
              </w:rPr>
            </w:pPr>
            <w:proofErr w:type="spellStart"/>
            <w:r>
              <w:t>Створення</w:t>
            </w:r>
            <w:proofErr w:type="spellEnd"/>
            <w:r>
              <w:t xml:space="preserve">  умов для </w:t>
            </w:r>
            <w:proofErr w:type="spellStart"/>
            <w:r>
              <w:t>надання</w:t>
            </w:r>
            <w:proofErr w:type="spellEnd"/>
            <w:r>
              <w:t xml:space="preserve"> </w:t>
            </w:r>
            <w:proofErr w:type="spellStart"/>
            <w:r>
              <w:t>можливості</w:t>
            </w:r>
            <w:proofErr w:type="spellEnd"/>
            <w:r>
              <w:t xml:space="preserve"> </w:t>
            </w:r>
            <w:proofErr w:type="spellStart"/>
            <w:r>
              <w:t>отримання</w:t>
            </w:r>
            <w:proofErr w:type="spellEnd"/>
            <w:r>
              <w:t xml:space="preserve"> </w:t>
            </w:r>
            <w:proofErr w:type="spellStart"/>
            <w:r>
              <w:t>інформації</w:t>
            </w:r>
            <w:proofErr w:type="spellEnd"/>
            <w:r>
              <w:t xml:space="preserve"> про </w:t>
            </w:r>
            <w:proofErr w:type="spellStart"/>
            <w:r>
              <w:t>навчальні</w:t>
            </w:r>
            <w:proofErr w:type="spellEnd"/>
            <w:r>
              <w:t xml:space="preserve"> </w:t>
            </w:r>
            <w:proofErr w:type="spellStart"/>
            <w:r>
              <w:t>заклади</w:t>
            </w:r>
            <w:proofErr w:type="spellEnd"/>
            <w:r>
              <w:t xml:space="preserve"> </w:t>
            </w:r>
            <w:proofErr w:type="spellStart"/>
            <w:r>
              <w:t>і</w:t>
            </w:r>
            <w:proofErr w:type="spellEnd"/>
            <w:r>
              <w:t xml:space="preserve"> </w:t>
            </w:r>
            <w:proofErr w:type="spellStart"/>
            <w:r>
              <w:t>спеціальності</w:t>
            </w:r>
            <w:proofErr w:type="spellEnd"/>
            <w:r>
              <w:t xml:space="preserve">, за </w:t>
            </w:r>
            <w:proofErr w:type="spellStart"/>
            <w:r>
              <w:t>якими</w:t>
            </w:r>
            <w:proofErr w:type="spellEnd"/>
            <w:r>
              <w:t xml:space="preserve"> особи старше 45 </w:t>
            </w:r>
            <w:proofErr w:type="spellStart"/>
            <w:r>
              <w:t>років</w:t>
            </w:r>
            <w:proofErr w:type="spellEnd"/>
            <w:r>
              <w:t xml:space="preserve"> </w:t>
            </w:r>
            <w:proofErr w:type="gramStart"/>
            <w:r>
              <w:t>в</w:t>
            </w:r>
            <w:proofErr w:type="gramEnd"/>
            <w:r>
              <w:t xml:space="preserve"> </w:t>
            </w:r>
            <w:proofErr w:type="spellStart"/>
            <w:r>
              <w:t>установленому</w:t>
            </w:r>
            <w:proofErr w:type="spellEnd"/>
            <w:r>
              <w:t xml:space="preserve"> порядку </w:t>
            </w:r>
            <w:proofErr w:type="spellStart"/>
            <w:r>
              <w:t>можуть</w:t>
            </w:r>
            <w:proofErr w:type="spellEnd"/>
            <w:r>
              <w:t xml:space="preserve"> </w:t>
            </w:r>
            <w:proofErr w:type="spellStart"/>
            <w:r>
              <w:t>отримувати</w:t>
            </w:r>
            <w:proofErr w:type="spellEnd"/>
            <w:r>
              <w:t xml:space="preserve"> ваучер на </w:t>
            </w:r>
            <w:proofErr w:type="spellStart"/>
            <w:r>
              <w:t>здобуття</w:t>
            </w:r>
            <w:proofErr w:type="spellEnd"/>
            <w:r>
              <w:t xml:space="preserve"> </w:t>
            </w:r>
            <w:proofErr w:type="spellStart"/>
            <w:r>
              <w:t>конкурентноспроможних</w:t>
            </w:r>
            <w:proofErr w:type="spellEnd"/>
            <w:r>
              <w:t xml:space="preserve"> </w:t>
            </w:r>
            <w:proofErr w:type="spellStart"/>
            <w:r>
              <w:t>спеціальностей</w:t>
            </w:r>
            <w:proofErr w:type="spellEnd"/>
            <w:r>
              <w:t xml:space="preserve"> за </w:t>
            </w:r>
            <w:proofErr w:type="spellStart"/>
            <w:r>
              <w:t>пріоритетними</w:t>
            </w:r>
            <w:proofErr w:type="spellEnd"/>
            <w:r>
              <w:t xml:space="preserve"> видами </w:t>
            </w:r>
            <w:proofErr w:type="spellStart"/>
            <w:r>
              <w:t>економічної</w:t>
            </w:r>
            <w:proofErr w:type="spellEnd"/>
            <w:r>
              <w:t xml:space="preserve"> </w:t>
            </w:r>
            <w:proofErr w:type="spellStart"/>
            <w:r>
              <w:t>діяльності</w:t>
            </w:r>
            <w:proofErr w:type="spellEnd"/>
          </w:p>
        </w:tc>
        <w:tc>
          <w:tcPr>
            <w:tcW w:w="9214" w:type="dxa"/>
          </w:tcPr>
          <w:p w:rsidR="00752722" w:rsidRPr="0072723E" w:rsidRDefault="00752722" w:rsidP="00752722">
            <w:pPr>
              <w:ind w:firstLine="240"/>
              <w:jc w:val="both"/>
              <w:rPr>
                <w:rFonts w:ascii="Times New Roman" w:hAnsi="Times New Roman" w:cs="Times New Roman"/>
                <w:sz w:val="24"/>
                <w:szCs w:val="24"/>
              </w:rPr>
            </w:pPr>
            <w:r w:rsidRPr="008A5AA1">
              <w:rPr>
                <w:rFonts w:ascii="Times New Roman" w:eastAsia="Times New Roman" w:hAnsi="Times New Roman" w:cs="Times New Roman"/>
                <w:sz w:val="24"/>
                <w:szCs w:val="24"/>
                <w:lang w:eastAsia="ru-RU"/>
              </w:rPr>
              <w:t xml:space="preserve">Заклади професійно – технічної освіти аграрного профілю надають освітні послуги щодо підвищення кваліфікації  та перенавчання дорослого населення. У 2020 році курсовим навчанням охоплено близько 500 слухачів.  Інформація  про навчальні заклади постійно оновлюється на </w:t>
            </w:r>
            <w:proofErr w:type="spellStart"/>
            <w:r w:rsidRPr="008A5AA1">
              <w:rPr>
                <w:rFonts w:ascii="Times New Roman" w:eastAsia="Times New Roman" w:hAnsi="Times New Roman" w:cs="Times New Roman"/>
                <w:sz w:val="24"/>
                <w:szCs w:val="24"/>
                <w:lang w:eastAsia="ru-RU"/>
              </w:rPr>
              <w:t>веб-сайтах</w:t>
            </w:r>
            <w:proofErr w:type="spellEnd"/>
            <w:r w:rsidRPr="008A5AA1">
              <w:rPr>
                <w:rFonts w:ascii="Times New Roman" w:eastAsia="Times New Roman" w:hAnsi="Times New Roman" w:cs="Times New Roman"/>
                <w:sz w:val="24"/>
                <w:szCs w:val="24"/>
                <w:lang w:eastAsia="ru-RU"/>
              </w:rPr>
              <w:t xml:space="preserve"> закладів професійної (професійно-технічної) освіти  та у соціальних мережах.  Здійснюється система профорієнтаційних заходів. </w:t>
            </w:r>
            <w:r w:rsidRPr="00FB37D4">
              <w:rPr>
                <w:rFonts w:ascii="Times New Roman" w:eastAsia="Times New Roman" w:hAnsi="Times New Roman" w:cs="Times New Roman"/>
                <w:sz w:val="24"/>
                <w:szCs w:val="24"/>
                <w:lang w:eastAsia="ru-RU"/>
              </w:rPr>
              <w:t>Щорічно проводились 5 регіональних конкурсів професійної майстерності, здобуто понад 10 призових місць на Всеукраїнських конкурсах, переможці відзначені стипендіями Президента України. Протягом останніх трьох років проведено обласні етапи Всеукраїнських конкурсів професійної майстерності «</w:t>
            </w:r>
            <w:r w:rsidRPr="00752722">
              <w:rPr>
                <w:rFonts w:ascii="Times New Roman" w:eastAsia="Times New Roman" w:hAnsi="Times New Roman" w:cs="Times New Roman"/>
                <w:sz w:val="24"/>
                <w:szCs w:val="24"/>
                <w:lang w:val="ru-RU" w:eastAsia="ru-RU"/>
              </w:rPr>
              <w:t>WORLDSKILLS</w:t>
            </w:r>
            <w:r w:rsidRPr="00FB37D4">
              <w:rPr>
                <w:rFonts w:ascii="Times New Roman" w:eastAsia="Times New Roman" w:hAnsi="Times New Roman" w:cs="Times New Roman"/>
                <w:sz w:val="24"/>
                <w:szCs w:val="24"/>
                <w:lang w:eastAsia="ru-RU"/>
              </w:rPr>
              <w:t xml:space="preserve"> </w:t>
            </w:r>
            <w:r w:rsidRPr="00752722">
              <w:rPr>
                <w:rFonts w:ascii="Times New Roman" w:eastAsia="Times New Roman" w:hAnsi="Times New Roman" w:cs="Times New Roman"/>
                <w:sz w:val="24"/>
                <w:szCs w:val="24"/>
                <w:lang w:val="ru-RU" w:eastAsia="ru-RU"/>
              </w:rPr>
              <w:t>UKRAINE</w:t>
            </w:r>
            <w:r w:rsidRPr="00FB37D4">
              <w:rPr>
                <w:rFonts w:ascii="Times New Roman" w:eastAsia="Times New Roman" w:hAnsi="Times New Roman" w:cs="Times New Roman"/>
                <w:sz w:val="24"/>
                <w:szCs w:val="24"/>
                <w:lang w:eastAsia="ru-RU"/>
              </w:rPr>
              <w:t>», здобуто п’ять перемог у других етапах конкурсів. Потужним профорієнтаційним заходом є фестивалі «Творча молодь Вінниччини», у яких беруть участь усі заклади професійної (професійно-технічної) освіти (крім 2020 року - у зв’язку із карантином).</w:t>
            </w:r>
          </w:p>
        </w:tc>
      </w:tr>
      <w:tr w:rsidR="00752722" w:rsidRPr="0072723E" w:rsidTr="00FA54EC">
        <w:tc>
          <w:tcPr>
            <w:tcW w:w="709" w:type="dxa"/>
          </w:tcPr>
          <w:p w:rsidR="00752722" w:rsidRPr="0072723E" w:rsidRDefault="00752722"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35</w:t>
            </w:r>
          </w:p>
        </w:tc>
        <w:tc>
          <w:tcPr>
            <w:tcW w:w="2552" w:type="dxa"/>
            <w:vMerge/>
          </w:tcPr>
          <w:p w:rsidR="00752722" w:rsidRPr="0072723E" w:rsidRDefault="00752722" w:rsidP="00AD1D6D">
            <w:pPr>
              <w:pStyle w:val="rvps14"/>
              <w:spacing w:before="0" w:beforeAutospacing="0" w:after="0" w:afterAutospacing="0"/>
              <w:textAlignment w:val="baseline"/>
              <w:rPr>
                <w:color w:val="000000"/>
                <w:shd w:val="clear" w:color="auto" w:fill="FFFFFF"/>
                <w:lang w:val="uk-UA"/>
              </w:rPr>
            </w:pPr>
          </w:p>
        </w:tc>
        <w:tc>
          <w:tcPr>
            <w:tcW w:w="3260" w:type="dxa"/>
          </w:tcPr>
          <w:p w:rsidR="00752722" w:rsidRPr="0072723E" w:rsidRDefault="00752722"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lang w:val="uk-UA"/>
              </w:rPr>
              <w:t>Проведення інформаційно-роз’яснювальної і консультаційної роботи, навчання для сільських громад з метою їх участі в розроблення проектів залучення міжнародної технічної допомоги та організації провадження безробітними, що проживають у сільській місцевості, підприємницької діяльності</w:t>
            </w:r>
          </w:p>
        </w:tc>
        <w:tc>
          <w:tcPr>
            <w:tcW w:w="9214" w:type="dxa"/>
          </w:tcPr>
          <w:p w:rsidR="00752722" w:rsidRPr="0072723E" w:rsidRDefault="00752722" w:rsidP="0057566C">
            <w:pPr>
              <w:ind w:firstLine="317"/>
              <w:jc w:val="both"/>
              <w:rPr>
                <w:rFonts w:ascii="Times New Roman" w:hAnsi="Times New Roman" w:cs="Times New Roman"/>
                <w:sz w:val="24"/>
                <w:szCs w:val="24"/>
              </w:rPr>
            </w:pPr>
            <w:r w:rsidRPr="00752722">
              <w:rPr>
                <w:rFonts w:ascii="Times New Roman" w:hAnsi="Times New Roman" w:cs="Times New Roman"/>
                <w:sz w:val="24"/>
                <w:szCs w:val="24"/>
              </w:rPr>
              <w:t xml:space="preserve">На Вінниччині протягом 2020 року </w:t>
            </w:r>
            <w:r w:rsidRPr="0072723E">
              <w:rPr>
                <w:rFonts w:ascii="Times New Roman" w:hAnsi="Times New Roman" w:cs="Times New Roman"/>
                <w:sz w:val="24"/>
                <w:szCs w:val="24"/>
              </w:rPr>
              <w:t>постійно проводи</w:t>
            </w:r>
            <w:r>
              <w:rPr>
                <w:rFonts w:ascii="Times New Roman" w:hAnsi="Times New Roman" w:cs="Times New Roman"/>
                <w:sz w:val="24"/>
                <w:szCs w:val="24"/>
              </w:rPr>
              <w:t>лись</w:t>
            </w:r>
            <w:r w:rsidRPr="0072723E">
              <w:rPr>
                <w:rFonts w:ascii="Times New Roman" w:hAnsi="Times New Roman" w:cs="Times New Roman"/>
                <w:sz w:val="24"/>
                <w:szCs w:val="24"/>
              </w:rPr>
              <w:t xml:space="preserve"> семінари, наради, тренінги з різних актуальних питань для сільськогосподарських товаровиробників та представників територіальних громад</w:t>
            </w:r>
            <w:r>
              <w:rPr>
                <w:rFonts w:ascii="Times New Roman" w:hAnsi="Times New Roman" w:cs="Times New Roman"/>
                <w:sz w:val="24"/>
                <w:szCs w:val="24"/>
              </w:rPr>
              <w:t xml:space="preserve">, в тому числі </w:t>
            </w:r>
            <w:proofErr w:type="spellStart"/>
            <w:r>
              <w:rPr>
                <w:rFonts w:ascii="Times New Roman" w:hAnsi="Times New Roman" w:cs="Times New Roman"/>
                <w:sz w:val="24"/>
                <w:szCs w:val="24"/>
              </w:rPr>
              <w:t>онлайн</w:t>
            </w:r>
            <w:proofErr w:type="spellEnd"/>
            <w:r w:rsidRPr="0072723E">
              <w:rPr>
                <w:rFonts w:ascii="Times New Roman" w:hAnsi="Times New Roman" w:cs="Times New Roman"/>
                <w:sz w:val="24"/>
                <w:szCs w:val="24"/>
              </w:rPr>
              <w:t>.</w:t>
            </w:r>
          </w:p>
          <w:p w:rsidR="00752722" w:rsidRPr="0072723E" w:rsidRDefault="00752722" w:rsidP="0057566C">
            <w:pPr>
              <w:ind w:firstLine="317"/>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color w:val="000000"/>
                <w:sz w:val="24"/>
                <w:szCs w:val="24"/>
                <w:lang w:eastAsia="ru-RU"/>
              </w:rPr>
              <w:t xml:space="preserve">Проведення просвітницьких заходів систематично висвітлювалося на регіональних Інтернет-ресурсах та у друкованих засобах масової. Зокрема, </w:t>
            </w:r>
            <w:r w:rsidRPr="0072723E">
              <w:rPr>
                <w:rFonts w:ascii="Times New Roman" w:eastAsia="Times New Roman" w:hAnsi="Times New Roman" w:cs="Times New Roman"/>
                <w:sz w:val="24"/>
                <w:szCs w:val="24"/>
                <w:lang w:eastAsia="ru-RU"/>
              </w:rPr>
              <w:t>відповідні тематичні матеріали на постійній основі розміщуються у стрічці новин на офіційному веб-сайті облдержадміністрації. За звітний період  на сайті обласної державної адміністрації розміщено 48 тематичних публікацій, у друкованих ЗМІ – понад 60 статей, на інтернет-порталах та у соціальних мережах – більш як 100 інформаційних повідомлень.</w:t>
            </w:r>
          </w:p>
          <w:p w:rsidR="00752722" w:rsidRPr="0072723E" w:rsidRDefault="00752722" w:rsidP="0057566C">
            <w:pPr>
              <w:ind w:firstLine="317"/>
              <w:jc w:val="both"/>
              <w:rPr>
                <w:rFonts w:ascii="Times New Roman" w:hAnsi="Times New Roman" w:cs="Times New Roman"/>
                <w:sz w:val="24"/>
                <w:szCs w:val="24"/>
              </w:rPr>
            </w:pPr>
            <w:r w:rsidRPr="0072723E">
              <w:rPr>
                <w:rFonts w:ascii="Times New Roman" w:eastAsia="Times New Roman" w:hAnsi="Times New Roman" w:cs="Times New Roman"/>
                <w:sz w:val="24"/>
                <w:szCs w:val="24"/>
                <w:lang w:eastAsia="ru-RU"/>
              </w:rPr>
              <w:t xml:space="preserve"> Відповідні матеріали постійно транслюються у випусках новин та тематичних передачах  телерадіокомпанії «ВІНТЕРА», UA: Суспільне, ІТА «ВІТА», ТРК «Вінниччина» та радіостанції «Місто над Бугом».</w:t>
            </w:r>
          </w:p>
        </w:tc>
      </w:tr>
      <w:tr w:rsidR="00752722" w:rsidRPr="0072723E" w:rsidTr="00FA54EC">
        <w:tc>
          <w:tcPr>
            <w:tcW w:w="709" w:type="dxa"/>
          </w:tcPr>
          <w:p w:rsidR="00752722" w:rsidRPr="0072723E" w:rsidRDefault="00752722"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36</w:t>
            </w:r>
          </w:p>
        </w:tc>
        <w:tc>
          <w:tcPr>
            <w:tcW w:w="2552" w:type="dxa"/>
            <w:vMerge/>
          </w:tcPr>
          <w:p w:rsidR="00752722" w:rsidRPr="0072723E" w:rsidRDefault="00752722" w:rsidP="00AD1D6D">
            <w:pPr>
              <w:pStyle w:val="rvps14"/>
              <w:spacing w:before="0" w:beforeAutospacing="0" w:after="0" w:afterAutospacing="0"/>
              <w:textAlignment w:val="baseline"/>
              <w:rPr>
                <w:color w:val="000000"/>
                <w:shd w:val="clear" w:color="auto" w:fill="FFFFFF"/>
              </w:rPr>
            </w:pPr>
          </w:p>
        </w:tc>
        <w:tc>
          <w:tcPr>
            <w:tcW w:w="3260" w:type="dxa"/>
          </w:tcPr>
          <w:p w:rsidR="00752722" w:rsidRPr="0072723E" w:rsidRDefault="00752722"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rPr>
              <w:t>Сприяння розвитку інновацій шляхом розширення системи дорадництва у сільському господарстві; надання дорадчих послуг суб’єктам господарювання</w:t>
            </w:r>
          </w:p>
        </w:tc>
        <w:tc>
          <w:tcPr>
            <w:tcW w:w="9214" w:type="dxa"/>
          </w:tcPr>
          <w:p w:rsidR="00752722" w:rsidRPr="0072723E" w:rsidRDefault="00752722" w:rsidP="0057566C">
            <w:pPr>
              <w:ind w:firstLine="317"/>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sz w:val="24"/>
                <w:szCs w:val="24"/>
                <w:lang w:eastAsia="ru-RU"/>
              </w:rPr>
              <w:t xml:space="preserve">26.02.2021 року рішенням 5 сесії обласної Ради 8 скликання № 68 прийнято обласну Програми розвитку особистих селянських, фермерських господарств, кооперативного руху на селі та дорадництва на 2021-2025 роки, </w:t>
            </w:r>
            <w:r w:rsidRPr="0072723E">
              <w:rPr>
                <w:rFonts w:ascii="Times New Roman" w:eastAsia="Times New Roman" w:hAnsi="Times New Roman" w:cs="Times New Roman"/>
                <w:bCs/>
                <w:sz w:val="24"/>
                <w:szCs w:val="24"/>
                <w:lang w:eastAsia="ru-RU"/>
              </w:rPr>
              <w:t>де також передбачено заходи і обсяги фінансування розвитку сільськогосподарського дорадництва в області.</w:t>
            </w:r>
          </w:p>
          <w:p w:rsidR="00752722" w:rsidRPr="0072723E" w:rsidRDefault="00752722" w:rsidP="0057566C">
            <w:pPr>
              <w:ind w:firstLine="317"/>
              <w:jc w:val="both"/>
              <w:rPr>
                <w:rFonts w:ascii="Times New Roman" w:eastAsia="Times New Roman" w:hAnsi="Times New Roman" w:cs="Times New Roman"/>
                <w:color w:val="000000"/>
                <w:sz w:val="24"/>
                <w:szCs w:val="24"/>
                <w:shd w:val="clear" w:color="auto" w:fill="FFFFFF"/>
                <w:lang w:eastAsia="ru-RU"/>
              </w:rPr>
            </w:pPr>
            <w:r w:rsidRPr="0072723E">
              <w:rPr>
                <w:rFonts w:ascii="Times New Roman" w:eastAsia="Times New Roman" w:hAnsi="Times New Roman" w:cs="Times New Roman"/>
                <w:bCs/>
                <w:sz w:val="24"/>
                <w:szCs w:val="24"/>
                <w:lang w:eastAsia="ru-RU"/>
              </w:rPr>
              <w:t xml:space="preserve">Спільно з Вінницьким Національним аграрним університетом постійно проводиться навчання (підвищення кваліфікації) сільськогосподарських дорадників та експертів-дорадників. </w:t>
            </w:r>
            <w:r w:rsidRPr="0072723E">
              <w:rPr>
                <w:rFonts w:ascii="Times New Roman" w:eastAsia="Times New Roman" w:hAnsi="Times New Roman" w:cs="Times New Roman"/>
                <w:color w:val="000000"/>
                <w:sz w:val="24"/>
                <w:szCs w:val="24"/>
                <w:shd w:val="clear" w:color="auto" w:fill="FFFFFF"/>
                <w:lang w:eastAsia="ru-RU"/>
              </w:rPr>
              <w:t xml:space="preserve">У грудні 2020 році у Вінницькому національному аграрному університеті пройшли навчання (підвищення кваліфікації) для майбутніх сільськогосподарських дорадників та експертів-дорадників. Подали документи на </w:t>
            </w:r>
            <w:r w:rsidRPr="0072723E">
              <w:rPr>
                <w:rFonts w:ascii="Times New Roman" w:eastAsia="Times New Roman" w:hAnsi="Times New Roman" w:cs="Times New Roman"/>
                <w:color w:val="000000"/>
                <w:sz w:val="24"/>
                <w:szCs w:val="24"/>
                <w:shd w:val="clear" w:color="auto" w:fill="FFFFFF"/>
                <w:lang w:eastAsia="ru-RU"/>
              </w:rPr>
              <w:lastRenderedPageBreak/>
              <w:t>участь у навчанні 30 учасників та четверо вирішили підвищити свою кваліфікацію.</w:t>
            </w:r>
          </w:p>
          <w:p w:rsidR="00752722" w:rsidRPr="0072723E" w:rsidRDefault="00752722" w:rsidP="0057566C">
            <w:pPr>
              <w:ind w:firstLine="317"/>
              <w:jc w:val="both"/>
              <w:rPr>
                <w:rFonts w:ascii="Times New Roman" w:eastAsia="Times New Roman" w:hAnsi="Times New Roman" w:cs="Times New Roman"/>
                <w:color w:val="000000"/>
                <w:sz w:val="24"/>
                <w:szCs w:val="24"/>
                <w:shd w:val="clear" w:color="auto" w:fill="FFFFFF"/>
                <w:lang w:eastAsia="ru-RU"/>
              </w:rPr>
            </w:pPr>
            <w:r w:rsidRPr="0072723E">
              <w:rPr>
                <w:rFonts w:ascii="Times New Roman" w:eastAsia="Times New Roman" w:hAnsi="Times New Roman" w:cs="Times New Roman"/>
                <w:color w:val="000000"/>
                <w:sz w:val="24"/>
                <w:szCs w:val="24"/>
                <w:shd w:val="clear" w:color="auto" w:fill="FFFFFF"/>
                <w:lang w:eastAsia="ru-RU"/>
              </w:rPr>
              <w:t xml:space="preserve">По завершенню навчання (підвищення кваліфікації) </w:t>
            </w:r>
            <w:r w:rsidRPr="0072723E">
              <w:rPr>
                <w:rFonts w:ascii="Times New Roman" w:eastAsia="Times New Roman" w:hAnsi="Times New Roman" w:cs="Times New Roman"/>
                <w:bCs/>
                <w:color w:val="000000"/>
                <w:sz w:val="24"/>
                <w:szCs w:val="24"/>
                <w:lang w:eastAsia="ru-RU"/>
              </w:rPr>
              <w:t>відбувся іспит для майбутніх</w:t>
            </w:r>
            <w:r w:rsidRPr="0072723E">
              <w:rPr>
                <w:rFonts w:ascii="Times New Roman" w:eastAsia="Times New Roman" w:hAnsi="Times New Roman" w:cs="Times New Roman"/>
                <w:sz w:val="24"/>
                <w:szCs w:val="24"/>
                <w:lang w:eastAsia="ru-RU"/>
              </w:rPr>
              <w:t xml:space="preserve"> сільськогосподарських дорадників та експертів-дорадників. Після іспиту для здійснення своєї професійної діяльності сільськогосподарські дорадники та експерти-дорадники отримали відповідні кваліфікаційні свідоцтва. </w:t>
            </w:r>
          </w:p>
          <w:p w:rsidR="00752722" w:rsidRPr="0072723E" w:rsidRDefault="00004E98" w:rsidP="0057566C">
            <w:pPr>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Наразі, в</w:t>
            </w:r>
            <w:r w:rsidR="00752722" w:rsidRPr="0072723E">
              <w:rPr>
                <w:rFonts w:ascii="Times New Roman" w:eastAsia="Times New Roman" w:hAnsi="Times New Roman" w:cs="Times New Roman"/>
                <w:bCs/>
                <w:sz w:val="24"/>
                <w:szCs w:val="24"/>
                <w:lang w:eastAsia="ru-RU"/>
              </w:rPr>
              <w:t xml:space="preserve"> області офіційно працює 52 </w:t>
            </w:r>
            <w:r w:rsidR="00752722" w:rsidRPr="0072723E">
              <w:rPr>
                <w:rFonts w:ascii="Times New Roman" w:eastAsia="Times New Roman" w:hAnsi="Times New Roman" w:cs="Times New Roman"/>
                <w:sz w:val="24"/>
                <w:szCs w:val="24"/>
                <w:lang w:eastAsia="ru-RU"/>
              </w:rPr>
              <w:t>сільськогосподарських дорадників та 20 експертів-дорадників, які зареєстровані у Реєстрі  сільськогосподарських дорадників та експертів – дорадників.</w:t>
            </w:r>
          </w:p>
          <w:p w:rsidR="00752722" w:rsidRPr="0072723E" w:rsidRDefault="00752722" w:rsidP="0057566C">
            <w:pPr>
              <w:ind w:firstLine="317"/>
              <w:contextualSpacing/>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sz w:val="24"/>
                <w:szCs w:val="24"/>
                <w:lang w:eastAsia="ru-RU"/>
              </w:rPr>
              <w:t>В області працює та зареєстрована в Реєстрі сільськогосподарських дорадчих служб дві обласних дорадчих служб, а саме:</w:t>
            </w:r>
          </w:p>
          <w:p w:rsidR="00752722" w:rsidRPr="0072723E" w:rsidRDefault="00752722" w:rsidP="0057566C">
            <w:pPr>
              <w:ind w:firstLine="317"/>
              <w:contextualSpacing/>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sz w:val="24"/>
                <w:szCs w:val="24"/>
                <w:lang w:eastAsia="ru-RU"/>
              </w:rPr>
              <w:t xml:space="preserve">- Споживче товариство „Вінницька обласна сільськогосподарська дорадча служба „Агродорада”; </w:t>
            </w:r>
          </w:p>
          <w:p w:rsidR="00752722" w:rsidRPr="0072723E" w:rsidRDefault="00752722" w:rsidP="0057566C">
            <w:pPr>
              <w:ind w:firstLine="317"/>
              <w:contextualSpacing/>
              <w:jc w:val="both"/>
              <w:rPr>
                <w:rFonts w:ascii="Times New Roman" w:eastAsia="Times New Roman" w:hAnsi="Times New Roman" w:cs="Times New Roman"/>
                <w:sz w:val="24"/>
                <w:szCs w:val="24"/>
                <w:lang w:eastAsia="ru-RU"/>
              </w:rPr>
            </w:pPr>
            <w:r w:rsidRPr="0072723E">
              <w:rPr>
                <w:rFonts w:ascii="Times New Roman" w:eastAsia="Times New Roman" w:hAnsi="Times New Roman" w:cs="Times New Roman"/>
                <w:sz w:val="24"/>
                <w:szCs w:val="24"/>
                <w:lang w:eastAsia="ru-RU"/>
              </w:rPr>
              <w:t>-</w:t>
            </w:r>
            <w:r w:rsidR="00004E98">
              <w:rPr>
                <w:rFonts w:ascii="Times New Roman" w:eastAsia="Times New Roman" w:hAnsi="Times New Roman" w:cs="Times New Roman"/>
                <w:sz w:val="24"/>
                <w:szCs w:val="24"/>
                <w:lang w:eastAsia="ru-RU"/>
              </w:rPr>
              <w:t xml:space="preserve"> </w:t>
            </w:r>
            <w:r w:rsidRPr="0072723E">
              <w:rPr>
                <w:rFonts w:ascii="Times New Roman" w:eastAsia="Times New Roman" w:hAnsi="Times New Roman" w:cs="Times New Roman"/>
                <w:sz w:val="24"/>
                <w:szCs w:val="24"/>
                <w:lang w:eastAsia="ru-RU"/>
              </w:rPr>
              <w:t xml:space="preserve">Громадська організація «Національний центр сільськогосподарського дорадництва та консалтингу «Досвід». </w:t>
            </w:r>
          </w:p>
          <w:p w:rsidR="00752722" w:rsidRPr="0072723E" w:rsidRDefault="00752722" w:rsidP="0057566C">
            <w:pPr>
              <w:ind w:firstLine="317"/>
              <w:jc w:val="both"/>
              <w:rPr>
                <w:rFonts w:ascii="Times New Roman" w:hAnsi="Times New Roman" w:cs="Times New Roman"/>
                <w:sz w:val="24"/>
                <w:szCs w:val="24"/>
              </w:rPr>
            </w:pPr>
            <w:r w:rsidRPr="0072723E">
              <w:rPr>
                <w:rFonts w:ascii="Times New Roman" w:eastAsia="Times New Roman" w:hAnsi="Times New Roman" w:cs="Times New Roman"/>
                <w:color w:val="000000"/>
                <w:sz w:val="24"/>
                <w:szCs w:val="24"/>
                <w:lang w:eastAsia="ru-RU"/>
              </w:rPr>
              <w:t xml:space="preserve">У 2020 році працівниками Вінницької обласної дорадчої службі «Агродорада» надано дорадчих послуг з агрономії та маркетингу 11 фермерам області на 98 тис. грн. </w:t>
            </w:r>
          </w:p>
        </w:tc>
      </w:tr>
      <w:tr w:rsidR="00752722" w:rsidRPr="0072723E" w:rsidTr="00FA54EC">
        <w:tc>
          <w:tcPr>
            <w:tcW w:w="709" w:type="dxa"/>
          </w:tcPr>
          <w:p w:rsidR="00752722" w:rsidRPr="0072723E" w:rsidRDefault="00752722"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lastRenderedPageBreak/>
              <w:t xml:space="preserve">37 </w:t>
            </w:r>
          </w:p>
          <w:p w:rsidR="00752722" w:rsidRPr="0072723E" w:rsidRDefault="00752722" w:rsidP="00AD1D6D">
            <w:pPr>
              <w:tabs>
                <w:tab w:val="left" w:pos="0"/>
              </w:tabs>
              <w:jc w:val="both"/>
              <w:rPr>
                <w:rFonts w:ascii="Times New Roman" w:hAnsi="Times New Roman" w:cs="Times New Roman"/>
                <w:sz w:val="24"/>
                <w:szCs w:val="24"/>
              </w:rPr>
            </w:pPr>
          </w:p>
          <w:p w:rsidR="00752722" w:rsidRPr="0072723E" w:rsidRDefault="00752722" w:rsidP="00AD1D6D">
            <w:pPr>
              <w:tabs>
                <w:tab w:val="left" w:pos="0"/>
              </w:tabs>
              <w:jc w:val="both"/>
              <w:rPr>
                <w:rFonts w:ascii="Times New Roman" w:hAnsi="Times New Roman" w:cs="Times New Roman"/>
                <w:sz w:val="24"/>
                <w:szCs w:val="24"/>
              </w:rPr>
            </w:pPr>
          </w:p>
          <w:p w:rsidR="00752722" w:rsidRPr="0072723E" w:rsidRDefault="00752722" w:rsidP="00AD1D6D">
            <w:pPr>
              <w:tabs>
                <w:tab w:val="left" w:pos="0"/>
              </w:tabs>
              <w:jc w:val="both"/>
              <w:rPr>
                <w:rFonts w:ascii="Times New Roman" w:hAnsi="Times New Roman" w:cs="Times New Roman"/>
                <w:sz w:val="24"/>
                <w:szCs w:val="24"/>
              </w:rPr>
            </w:pPr>
          </w:p>
          <w:p w:rsidR="00752722" w:rsidRPr="0072723E" w:rsidRDefault="00752722" w:rsidP="00AD1D6D">
            <w:pPr>
              <w:tabs>
                <w:tab w:val="left" w:pos="0"/>
              </w:tabs>
              <w:jc w:val="both"/>
              <w:rPr>
                <w:rFonts w:ascii="Times New Roman" w:hAnsi="Times New Roman" w:cs="Times New Roman"/>
                <w:sz w:val="24"/>
                <w:szCs w:val="24"/>
              </w:rPr>
            </w:pPr>
          </w:p>
          <w:p w:rsidR="00752722" w:rsidRPr="0072723E" w:rsidRDefault="00752722" w:rsidP="00AD1D6D">
            <w:pPr>
              <w:tabs>
                <w:tab w:val="left" w:pos="0"/>
              </w:tabs>
              <w:jc w:val="both"/>
              <w:rPr>
                <w:rFonts w:ascii="Times New Roman" w:hAnsi="Times New Roman" w:cs="Times New Roman"/>
                <w:sz w:val="24"/>
                <w:szCs w:val="24"/>
              </w:rPr>
            </w:pPr>
          </w:p>
          <w:p w:rsidR="00752722" w:rsidRPr="0072723E" w:rsidRDefault="00752722" w:rsidP="00AD1D6D">
            <w:pPr>
              <w:tabs>
                <w:tab w:val="left" w:pos="0"/>
              </w:tabs>
              <w:jc w:val="both"/>
              <w:rPr>
                <w:rFonts w:ascii="Times New Roman" w:hAnsi="Times New Roman" w:cs="Times New Roman"/>
                <w:sz w:val="24"/>
                <w:szCs w:val="24"/>
              </w:rPr>
            </w:pPr>
          </w:p>
          <w:p w:rsidR="00752722" w:rsidRPr="0072723E" w:rsidRDefault="00752722" w:rsidP="00AD1D6D">
            <w:pPr>
              <w:tabs>
                <w:tab w:val="left" w:pos="0"/>
              </w:tabs>
              <w:jc w:val="both"/>
              <w:rPr>
                <w:rFonts w:ascii="Times New Roman" w:hAnsi="Times New Roman" w:cs="Times New Roman"/>
                <w:sz w:val="24"/>
                <w:szCs w:val="24"/>
              </w:rPr>
            </w:pPr>
          </w:p>
          <w:p w:rsidR="00752722" w:rsidRPr="0072723E" w:rsidRDefault="00752722" w:rsidP="00AD1D6D">
            <w:pPr>
              <w:tabs>
                <w:tab w:val="left" w:pos="0"/>
              </w:tabs>
              <w:jc w:val="both"/>
              <w:rPr>
                <w:rFonts w:ascii="Times New Roman" w:hAnsi="Times New Roman" w:cs="Times New Roman"/>
                <w:sz w:val="24"/>
                <w:szCs w:val="24"/>
              </w:rPr>
            </w:pPr>
            <w:r w:rsidRPr="0072723E">
              <w:rPr>
                <w:rFonts w:ascii="Times New Roman" w:hAnsi="Times New Roman" w:cs="Times New Roman"/>
                <w:sz w:val="24"/>
                <w:szCs w:val="24"/>
              </w:rPr>
              <w:t>38</w:t>
            </w:r>
          </w:p>
        </w:tc>
        <w:tc>
          <w:tcPr>
            <w:tcW w:w="2552" w:type="dxa"/>
            <w:vMerge/>
          </w:tcPr>
          <w:p w:rsidR="00752722" w:rsidRPr="0072723E" w:rsidRDefault="00752722" w:rsidP="00AD1D6D">
            <w:pPr>
              <w:pStyle w:val="rvps14"/>
              <w:spacing w:before="0" w:beforeAutospacing="0" w:after="0" w:afterAutospacing="0"/>
              <w:textAlignment w:val="baseline"/>
              <w:rPr>
                <w:color w:val="000000"/>
                <w:shd w:val="clear" w:color="auto" w:fill="FFFFFF"/>
              </w:rPr>
            </w:pPr>
          </w:p>
        </w:tc>
        <w:tc>
          <w:tcPr>
            <w:tcW w:w="3260" w:type="dxa"/>
          </w:tcPr>
          <w:p w:rsidR="00752722" w:rsidRPr="0072723E" w:rsidRDefault="00752722"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rPr>
              <w:t>Підготовка фахівців для розроблення проектів залучення міжнародної технічної допомоги для формування локальних проектів розвитку сільських територій</w:t>
            </w:r>
          </w:p>
          <w:p w:rsidR="00752722" w:rsidRPr="0072723E" w:rsidRDefault="00752722" w:rsidP="00AD1D6D">
            <w:pPr>
              <w:pStyle w:val="rvps14"/>
              <w:spacing w:before="0" w:beforeAutospacing="0" w:after="0" w:afterAutospacing="0"/>
              <w:textAlignment w:val="baseline"/>
              <w:rPr>
                <w:color w:val="000000"/>
                <w:shd w:val="clear" w:color="auto" w:fill="FFFFFF"/>
                <w:lang w:val="uk-UA"/>
              </w:rPr>
            </w:pPr>
          </w:p>
          <w:p w:rsidR="00752722" w:rsidRPr="0072723E" w:rsidRDefault="00752722" w:rsidP="00AD1D6D">
            <w:pPr>
              <w:pStyle w:val="rvps14"/>
              <w:spacing w:before="0" w:beforeAutospacing="0" w:after="0" w:afterAutospacing="0"/>
              <w:textAlignment w:val="baseline"/>
              <w:rPr>
                <w:color w:val="000000"/>
                <w:shd w:val="clear" w:color="auto" w:fill="FFFFFF"/>
                <w:lang w:val="uk-UA"/>
              </w:rPr>
            </w:pPr>
            <w:r w:rsidRPr="0072723E">
              <w:rPr>
                <w:color w:val="000000"/>
                <w:shd w:val="clear" w:color="auto" w:fill="FFFFFF"/>
              </w:rPr>
              <w:t>Запровадження навчальних програм, проведення тренінгів і семінарів для сільських голів та фермерських господарств з питань розвитку несільськогосподарських видів бізнесу</w:t>
            </w:r>
          </w:p>
        </w:tc>
        <w:tc>
          <w:tcPr>
            <w:tcW w:w="9214" w:type="dxa"/>
          </w:tcPr>
          <w:p w:rsidR="00752722" w:rsidRPr="0072723E" w:rsidRDefault="00752722" w:rsidP="0057566C">
            <w:pPr>
              <w:pStyle w:val="aa"/>
              <w:shd w:val="clear" w:color="auto" w:fill="FFFFFF"/>
              <w:spacing w:before="0" w:beforeAutospacing="0" w:after="0" w:afterAutospacing="0"/>
              <w:ind w:right="142" w:firstLine="317"/>
              <w:jc w:val="both"/>
              <w:rPr>
                <w:b/>
                <w:lang w:val="uk-UA"/>
              </w:rPr>
            </w:pPr>
            <w:r w:rsidRPr="0072723E">
              <w:rPr>
                <w:lang w:val="uk-UA"/>
              </w:rPr>
              <w:t>В області успішно діє 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Вінницької області</w:t>
            </w:r>
            <w:r w:rsidRPr="0072723E">
              <w:rPr>
                <w:b/>
                <w:lang w:val="uk-UA"/>
              </w:rPr>
              <w:t xml:space="preserve">. </w:t>
            </w:r>
          </w:p>
          <w:p w:rsidR="00752722" w:rsidRPr="0072723E" w:rsidRDefault="00752722" w:rsidP="0057566C">
            <w:pPr>
              <w:pStyle w:val="aa"/>
              <w:shd w:val="clear" w:color="auto" w:fill="FFFFFF"/>
              <w:spacing w:before="0" w:beforeAutospacing="0" w:after="0" w:afterAutospacing="0"/>
              <w:ind w:right="142" w:firstLine="317"/>
              <w:jc w:val="both"/>
              <w:rPr>
                <w:bCs/>
                <w:color w:val="000000"/>
                <w:lang w:val="uk-UA"/>
              </w:rPr>
            </w:pPr>
            <w:r w:rsidRPr="0072723E">
              <w:t>В Центрі проведено заходи</w:t>
            </w:r>
            <w:r w:rsidRPr="0072723E">
              <w:rPr>
                <w:bCs/>
                <w:lang w:val="uk-UA"/>
              </w:rPr>
              <w:t xml:space="preserve"> з підвищення кваліфікації у 2020 році, д</w:t>
            </w:r>
            <w:r w:rsidRPr="0072723E">
              <w:rPr>
                <w:lang w:val="uk-UA"/>
              </w:rPr>
              <w:t xml:space="preserve">о </w:t>
            </w:r>
            <w:r w:rsidRPr="0072723E">
              <w:rPr>
                <w:color w:val="000000"/>
                <w:lang w:val="uk-UA"/>
              </w:rPr>
              <w:t>професійних (сертифікатних) програм яких включені слідуючі навчальні теми: с</w:t>
            </w:r>
            <w:r w:rsidRPr="0072723E">
              <w:rPr>
                <w:lang w:val="uk-UA"/>
              </w:rPr>
              <w:t xml:space="preserve">истема екологічного менеджменту в органах управління; шлях реалізації стратегії збалансованого розвитку територій; </w:t>
            </w:r>
            <w:hyperlink r:id="rId9" w:history="1">
              <w:r w:rsidRPr="0072723E">
                <w:rPr>
                  <w:rStyle w:val="a5"/>
                  <w:color w:val="000000"/>
                  <w:u w:val="none"/>
                  <w:lang w:val="uk-UA"/>
                </w:rPr>
                <w:t>основні напрямки розвитку енергетики України до 2030 року</w:t>
              </w:r>
            </w:hyperlink>
            <w:r w:rsidRPr="0072723E">
              <w:rPr>
                <w:lang w:val="uk-UA"/>
              </w:rPr>
              <w:t>; підготовка до написання проектів для участі в різноманітних конкурсах і грантах. Залучення грантових коштів для розвитку територіальних громад; к</w:t>
            </w:r>
            <w:r w:rsidRPr="0072723E">
              <w:rPr>
                <w:rFonts w:eastAsia="Calibri"/>
                <w:lang w:val="uk-UA"/>
              </w:rPr>
              <w:t xml:space="preserve">онцепція впровадження сучасної системи поводження з побутовими відходами </w:t>
            </w:r>
            <w:r w:rsidRPr="0072723E">
              <w:rPr>
                <w:lang w:val="uk-UA"/>
              </w:rPr>
              <w:t>у Вінницькій</w:t>
            </w:r>
            <w:r w:rsidRPr="0072723E">
              <w:rPr>
                <w:rFonts w:eastAsia="Calibri"/>
                <w:lang w:val="uk-UA"/>
              </w:rPr>
              <w:t xml:space="preserve"> області; в</w:t>
            </w:r>
            <w:r w:rsidRPr="0072723E">
              <w:rPr>
                <w:lang w:val="uk-UA"/>
              </w:rPr>
              <w:t xml:space="preserve">провадження енергоефективних технологій в житловому та громадському секторі; організація роботи житлово-комунальних підприємств  та надання якісних житлово-комунальних послуг в новостворених громадах; шлях реалізації стратегії збалансованого розвитку; місцевий економічний розвиток; </w:t>
            </w:r>
            <w:r w:rsidRPr="0072723E">
              <w:rPr>
                <w:color w:val="000000"/>
                <w:lang w:val="uk-UA"/>
              </w:rPr>
              <w:t>полігранність сільського туризму в просторовому розвитку громади; в</w:t>
            </w:r>
            <w:r w:rsidRPr="0072723E">
              <w:rPr>
                <w:bCs/>
                <w:color w:val="000000"/>
                <w:lang w:val="uk-UA"/>
              </w:rPr>
              <w:t>провадження та розвиток системи «Безпечне місто». Безпека в громаді; р</w:t>
            </w:r>
            <w:r w:rsidRPr="0072723E">
              <w:rPr>
                <w:lang w:val="uk-UA"/>
              </w:rPr>
              <w:t>оль та стратегічна діяльність працівників  агропромислового комплексу та екології в органах місцевого самоврядування; права та обов’язки органів місцевого самоврядування в сфері охорони навколишнього природного середовища; підтримка малого підприємництва на селі. Сімейні молочні ферми від А до Я; стратегія сталого розвитку Вінницької області; з</w:t>
            </w:r>
            <w:r w:rsidRPr="0072723E">
              <w:rPr>
                <w:bCs/>
                <w:color w:val="000000"/>
                <w:lang w:val="uk-UA"/>
              </w:rPr>
              <w:t>емельне законодавство України та актуальні питання використання земель сільськогосподарського призначення.</w:t>
            </w:r>
          </w:p>
          <w:p w:rsidR="00752722" w:rsidRPr="0072723E" w:rsidRDefault="00752722" w:rsidP="0057566C">
            <w:pPr>
              <w:pStyle w:val="aa"/>
              <w:shd w:val="clear" w:color="auto" w:fill="FFFFFF"/>
              <w:spacing w:before="0" w:beforeAutospacing="0" w:after="0" w:afterAutospacing="0"/>
              <w:ind w:right="142" w:firstLine="317"/>
              <w:jc w:val="both"/>
              <w:rPr>
                <w:color w:val="000000"/>
                <w:lang w:val="uk-UA"/>
              </w:rPr>
            </w:pPr>
            <w:r w:rsidRPr="0072723E">
              <w:rPr>
                <w:lang w:val="uk-UA"/>
              </w:rPr>
              <w:t xml:space="preserve">З зазначених питань </w:t>
            </w:r>
            <w:r w:rsidRPr="0072723E">
              <w:rPr>
                <w:color w:val="000000"/>
                <w:lang w:val="uk-UA"/>
              </w:rPr>
              <w:t xml:space="preserve">в рамках професійних програм пройшли підвищення </w:t>
            </w:r>
            <w:r w:rsidRPr="0072723E">
              <w:rPr>
                <w:color w:val="000000"/>
                <w:lang w:val="uk-UA"/>
              </w:rPr>
              <w:lastRenderedPageBreak/>
              <w:t xml:space="preserve">кваліфікації державні службовці та посадові особи органів місцевого самоврядування у кількості </w:t>
            </w:r>
            <w:r w:rsidRPr="0072723E">
              <w:rPr>
                <w:lang w:val="uk-UA"/>
              </w:rPr>
              <w:t xml:space="preserve">1488 </w:t>
            </w:r>
            <w:r w:rsidRPr="0072723E">
              <w:rPr>
                <w:color w:val="000000"/>
                <w:lang w:val="uk-UA"/>
              </w:rPr>
              <w:t>осіб.</w:t>
            </w:r>
          </w:p>
          <w:p w:rsidR="00752722" w:rsidRPr="0072723E" w:rsidRDefault="00752722" w:rsidP="0057566C">
            <w:pPr>
              <w:pStyle w:val="aa"/>
              <w:shd w:val="clear" w:color="auto" w:fill="FFFFFF"/>
              <w:spacing w:before="0" w:beforeAutospacing="0" w:after="0" w:afterAutospacing="0"/>
              <w:ind w:right="142" w:firstLine="317"/>
              <w:jc w:val="both"/>
              <w:rPr>
                <w:color w:val="000000"/>
                <w:lang w:val="uk-UA"/>
              </w:rPr>
            </w:pPr>
            <w:r w:rsidRPr="0072723E">
              <w:rPr>
                <w:color w:val="000000"/>
                <w:lang w:val="uk-UA"/>
              </w:rPr>
              <w:t>За короткостроковими програмами підвищили кваліфікацію:</w:t>
            </w:r>
          </w:p>
          <w:p w:rsidR="00752722" w:rsidRPr="0072723E" w:rsidRDefault="00752722" w:rsidP="0057566C">
            <w:pPr>
              <w:pStyle w:val="aa"/>
              <w:numPr>
                <w:ilvl w:val="0"/>
                <w:numId w:val="5"/>
              </w:numPr>
              <w:shd w:val="clear" w:color="auto" w:fill="FFFFFF"/>
              <w:tabs>
                <w:tab w:val="left" w:pos="567"/>
              </w:tabs>
              <w:spacing w:before="0" w:beforeAutospacing="0" w:after="0" w:afterAutospacing="0"/>
              <w:ind w:left="0" w:right="142" w:firstLine="317"/>
              <w:jc w:val="both"/>
              <w:rPr>
                <w:color w:val="000000"/>
                <w:lang w:val="uk-UA"/>
              </w:rPr>
            </w:pPr>
            <w:r w:rsidRPr="0072723E">
              <w:rPr>
                <w:color w:val="000000"/>
                <w:lang w:val="uk-UA"/>
              </w:rPr>
              <w:t>64 голови сільських, селищних, міських рад територіальних громад;</w:t>
            </w:r>
          </w:p>
          <w:p w:rsidR="00752722" w:rsidRPr="0072723E" w:rsidRDefault="00752722" w:rsidP="0057566C">
            <w:pPr>
              <w:pStyle w:val="aa"/>
              <w:numPr>
                <w:ilvl w:val="0"/>
                <w:numId w:val="5"/>
              </w:numPr>
              <w:shd w:val="clear" w:color="auto" w:fill="FFFFFF"/>
              <w:tabs>
                <w:tab w:val="left" w:pos="567"/>
              </w:tabs>
              <w:spacing w:before="0" w:beforeAutospacing="0" w:after="0" w:afterAutospacing="0"/>
              <w:ind w:left="0" w:right="142" w:firstLine="317"/>
              <w:jc w:val="both"/>
              <w:rPr>
                <w:color w:val="000000"/>
                <w:lang w:val="uk-UA"/>
              </w:rPr>
            </w:pPr>
            <w:r w:rsidRPr="0072723E">
              <w:rPr>
                <w:color w:val="000000"/>
                <w:lang w:val="uk-UA"/>
              </w:rPr>
              <w:t xml:space="preserve"> 13 заступників сільських, селищних, міських голів територіальних громад;</w:t>
            </w:r>
          </w:p>
          <w:p w:rsidR="00752722" w:rsidRPr="0072723E" w:rsidRDefault="00752722" w:rsidP="0057566C">
            <w:pPr>
              <w:pStyle w:val="aa"/>
              <w:numPr>
                <w:ilvl w:val="0"/>
                <w:numId w:val="5"/>
              </w:numPr>
              <w:shd w:val="clear" w:color="auto" w:fill="FFFFFF"/>
              <w:tabs>
                <w:tab w:val="left" w:pos="567"/>
              </w:tabs>
              <w:spacing w:before="0" w:beforeAutospacing="0" w:after="0" w:afterAutospacing="0"/>
              <w:ind w:left="0" w:right="142" w:firstLine="317"/>
              <w:jc w:val="both"/>
              <w:rPr>
                <w:color w:val="000000"/>
                <w:lang w:val="uk-UA"/>
              </w:rPr>
            </w:pPr>
            <w:r w:rsidRPr="0072723E">
              <w:rPr>
                <w:color w:val="000000"/>
                <w:lang w:val="uk-UA"/>
              </w:rPr>
              <w:t>32 відповідальні особи за написання грантових проектів та залучення інвестицій сільських, селищних, міських рад територіальних громад;</w:t>
            </w:r>
          </w:p>
          <w:p w:rsidR="00752722" w:rsidRPr="0072723E" w:rsidRDefault="00752722" w:rsidP="0057566C">
            <w:pPr>
              <w:pStyle w:val="aa"/>
              <w:numPr>
                <w:ilvl w:val="0"/>
                <w:numId w:val="5"/>
              </w:numPr>
              <w:shd w:val="clear" w:color="auto" w:fill="FFFFFF"/>
              <w:tabs>
                <w:tab w:val="left" w:pos="567"/>
              </w:tabs>
              <w:spacing w:before="0" w:beforeAutospacing="0" w:after="0" w:afterAutospacing="0"/>
              <w:ind w:left="0" w:right="142" w:firstLine="317"/>
              <w:jc w:val="both"/>
              <w:rPr>
                <w:color w:val="000000"/>
                <w:lang w:val="uk-UA"/>
              </w:rPr>
            </w:pPr>
            <w:r w:rsidRPr="0072723E">
              <w:rPr>
                <w:color w:val="000000"/>
                <w:lang w:val="uk-UA"/>
              </w:rPr>
              <w:t>29 відповідальні особи в сільських, селищних, міських територіальних громадах за створення Центрів безпеки;</w:t>
            </w:r>
          </w:p>
          <w:p w:rsidR="00752722" w:rsidRPr="00004E98" w:rsidRDefault="00752722" w:rsidP="0057566C">
            <w:pPr>
              <w:pStyle w:val="aa"/>
              <w:numPr>
                <w:ilvl w:val="0"/>
                <w:numId w:val="5"/>
              </w:numPr>
              <w:shd w:val="clear" w:color="auto" w:fill="FFFFFF"/>
              <w:tabs>
                <w:tab w:val="left" w:pos="567"/>
              </w:tabs>
              <w:spacing w:before="0" w:beforeAutospacing="0" w:after="0" w:afterAutospacing="0"/>
              <w:ind w:left="0" w:right="142" w:firstLine="317"/>
              <w:jc w:val="both"/>
              <w:rPr>
                <w:lang w:val="uk-UA"/>
              </w:rPr>
            </w:pPr>
            <w:r w:rsidRPr="0072723E">
              <w:rPr>
                <w:color w:val="000000"/>
                <w:lang w:val="uk-UA"/>
              </w:rPr>
              <w:t>36 відповідальні працівники у сфері житлово-комунального господарства, енергетики та інфраструктури райдержадміністрацій, сільських, селищних, міських рад територіальних громад.</w:t>
            </w:r>
          </w:p>
          <w:p w:rsidR="00752722" w:rsidRPr="0072723E" w:rsidRDefault="00004E98" w:rsidP="00004E98">
            <w:pPr>
              <w:pStyle w:val="aa"/>
              <w:shd w:val="clear" w:color="auto" w:fill="FFFFFF"/>
              <w:tabs>
                <w:tab w:val="left" w:pos="567"/>
              </w:tabs>
              <w:spacing w:before="0" w:beforeAutospacing="0" w:after="0" w:afterAutospacing="0"/>
              <w:ind w:right="142"/>
              <w:jc w:val="both"/>
              <w:rPr>
                <w:b/>
                <w:bCs/>
              </w:rPr>
            </w:pPr>
            <w:r>
              <w:rPr>
                <w:lang w:val="uk-UA"/>
              </w:rPr>
              <w:t xml:space="preserve">      </w:t>
            </w:r>
            <w:r w:rsidR="00752722" w:rsidRPr="0072723E">
              <w:rPr>
                <w:lang w:val="uk-UA"/>
              </w:rPr>
              <w:t xml:space="preserve">Також, протягом 2020 року в Центрі спільно з проектом «ПРОМІС» для 16 осіб </w:t>
            </w:r>
            <w:r w:rsidR="00752722" w:rsidRPr="0072723E">
              <w:rPr>
                <w:color w:val="000000"/>
                <w:lang w:val="uk-UA"/>
              </w:rPr>
              <w:t>проведено</w:t>
            </w:r>
            <w:r w:rsidR="00752722" w:rsidRPr="0072723E">
              <w:rPr>
                <w:lang w:val="uk-UA"/>
              </w:rPr>
              <w:t xml:space="preserve"> навчання за професійною (сертифікатною) програмою для посадових осіб органів місцевого самоврядування з питань місцевого економічного розвитку.</w:t>
            </w:r>
          </w:p>
        </w:tc>
      </w:tr>
    </w:tbl>
    <w:p w:rsidR="00267A4C" w:rsidRPr="0072723E" w:rsidRDefault="00267A4C" w:rsidP="00267A4C">
      <w:pPr>
        <w:tabs>
          <w:tab w:val="left" w:pos="0"/>
        </w:tabs>
        <w:jc w:val="both"/>
        <w:rPr>
          <w:rFonts w:ascii="Times New Roman" w:hAnsi="Times New Roman" w:cs="Times New Roman"/>
          <w:sz w:val="24"/>
          <w:szCs w:val="24"/>
        </w:rPr>
      </w:pPr>
    </w:p>
    <w:p w:rsidR="007D0FEA" w:rsidRPr="00576A1A" w:rsidRDefault="007D0FEA">
      <w:pPr>
        <w:rPr>
          <w:rFonts w:ascii="Times New Roman" w:hAnsi="Times New Roman" w:cs="Times New Roman"/>
          <w:sz w:val="26"/>
          <w:szCs w:val="26"/>
        </w:rPr>
      </w:pPr>
    </w:p>
    <w:sectPr w:rsidR="007D0FEA" w:rsidRPr="00576A1A" w:rsidSect="005553C2">
      <w:pgSz w:w="16838" w:h="11906" w:orient="landscape"/>
      <w:pgMar w:top="568" w:right="851" w:bottom="426" w:left="42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829F2"/>
    <w:multiLevelType w:val="hybridMultilevel"/>
    <w:tmpl w:val="1FF69B52"/>
    <w:lvl w:ilvl="0" w:tplc="45C03DF4">
      <w:start w:val="64"/>
      <w:numFmt w:val="bullet"/>
      <w:lvlText w:val="-"/>
      <w:lvlJc w:val="left"/>
      <w:pPr>
        <w:ind w:left="915" w:hanging="360"/>
      </w:pPr>
      <w:rPr>
        <w:rFonts w:ascii="Times New Roman" w:eastAsia="Times New Roman" w:hAnsi="Times New Roman" w:cs="Times New Roman" w:hint="default"/>
      </w:rPr>
    </w:lvl>
    <w:lvl w:ilvl="1" w:tplc="20000003" w:tentative="1">
      <w:start w:val="1"/>
      <w:numFmt w:val="bullet"/>
      <w:lvlText w:val="o"/>
      <w:lvlJc w:val="left"/>
      <w:pPr>
        <w:ind w:left="1635" w:hanging="360"/>
      </w:pPr>
      <w:rPr>
        <w:rFonts w:ascii="Courier New" w:hAnsi="Courier New" w:cs="Courier New" w:hint="default"/>
      </w:rPr>
    </w:lvl>
    <w:lvl w:ilvl="2" w:tplc="20000005" w:tentative="1">
      <w:start w:val="1"/>
      <w:numFmt w:val="bullet"/>
      <w:lvlText w:val=""/>
      <w:lvlJc w:val="left"/>
      <w:pPr>
        <w:ind w:left="2355" w:hanging="360"/>
      </w:pPr>
      <w:rPr>
        <w:rFonts w:ascii="Wingdings" w:hAnsi="Wingdings" w:hint="default"/>
      </w:rPr>
    </w:lvl>
    <w:lvl w:ilvl="3" w:tplc="20000001" w:tentative="1">
      <w:start w:val="1"/>
      <w:numFmt w:val="bullet"/>
      <w:lvlText w:val=""/>
      <w:lvlJc w:val="left"/>
      <w:pPr>
        <w:ind w:left="3075" w:hanging="360"/>
      </w:pPr>
      <w:rPr>
        <w:rFonts w:ascii="Symbol" w:hAnsi="Symbol" w:hint="default"/>
      </w:rPr>
    </w:lvl>
    <w:lvl w:ilvl="4" w:tplc="20000003" w:tentative="1">
      <w:start w:val="1"/>
      <w:numFmt w:val="bullet"/>
      <w:lvlText w:val="o"/>
      <w:lvlJc w:val="left"/>
      <w:pPr>
        <w:ind w:left="3795" w:hanging="360"/>
      </w:pPr>
      <w:rPr>
        <w:rFonts w:ascii="Courier New" w:hAnsi="Courier New" w:cs="Courier New" w:hint="default"/>
      </w:rPr>
    </w:lvl>
    <w:lvl w:ilvl="5" w:tplc="20000005" w:tentative="1">
      <w:start w:val="1"/>
      <w:numFmt w:val="bullet"/>
      <w:lvlText w:val=""/>
      <w:lvlJc w:val="left"/>
      <w:pPr>
        <w:ind w:left="4515" w:hanging="360"/>
      </w:pPr>
      <w:rPr>
        <w:rFonts w:ascii="Wingdings" w:hAnsi="Wingdings" w:hint="default"/>
      </w:rPr>
    </w:lvl>
    <w:lvl w:ilvl="6" w:tplc="20000001" w:tentative="1">
      <w:start w:val="1"/>
      <w:numFmt w:val="bullet"/>
      <w:lvlText w:val=""/>
      <w:lvlJc w:val="left"/>
      <w:pPr>
        <w:ind w:left="5235" w:hanging="360"/>
      </w:pPr>
      <w:rPr>
        <w:rFonts w:ascii="Symbol" w:hAnsi="Symbol" w:hint="default"/>
      </w:rPr>
    </w:lvl>
    <w:lvl w:ilvl="7" w:tplc="20000003" w:tentative="1">
      <w:start w:val="1"/>
      <w:numFmt w:val="bullet"/>
      <w:lvlText w:val="o"/>
      <w:lvlJc w:val="left"/>
      <w:pPr>
        <w:ind w:left="5955" w:hanging="360"/>
      </w:pPr>
      <w:rPr>
        <w:rFonts w:ascii="Courier New" w:hAnsi="Courier New" w:cs="Courier New" w:hint="default"/>
      </w:rPr>
    </w:lvl>
    <w:lvl w:ilvl="8" w:tplc="20000005" w:tentative="1">
      <w:start w:val="1"/>
      <w:numFmt w:val="bullet"/>
      <w:lvlText w:val=""/>
      <w:lvlJc w:val="left"/>
      <w:pPr>
        <w:ind w:left="6675" w:hanging="360"/>
      </w:pPr>
      <w:rPr>
        <w:rFonts w:ascii="Wingdings" w:hAnsi="Wingdings" w:hint="default"/>
      </w:rPr>
    </w:lvl>
  </w:abstractNum>
  <w:abstractNum w:abstractNumId="1">
    <w:nsid w:val="1D921D48"/>
    <w:multiLevelType w:val="hybridMultilevel"/>
    <w:tmpl w:val="822A28D2"/>
    <w:lvl w:ilvl="0" w:tplc="E9168890">
      <w:start w:val="1"/>
      <w:numFmt w:val="decimal"/>
      <w:lvlText w:val="%1."/>
      <w:lvlJc w:val="left"/>
      <w:pPr>
        <w:ind w:left="293" w:hanging="360"/>
      </w:pPr>
      <w:rPr>
        <w:rFonts w:hint="default"/>
      </w:rPr>
    </w:lvl>
    <w:lvl w:ilvl="1" w:tplc="04190019" w:tentative="1">
      <w:start w:val="1"/>
      <w:numFmt w:val="lowerLetter"/>
      <w:lvlText w:val="%2."/>
      <w:lvlJc w:val="left"/>
      <w:pPr>
        <w:ind w:left="1013" w:hanging="360"/>
      </w:pPr>
    </w:lvl>
    <w:lvl w:ilvl="2" w:tplc="0419001B" w:tentative="1">
      <w:start w:val="1"/>
      <w:numFmt w:val="lowerRoman"/>
      <w:lvlText w:val="%3."/>
      <w:lvlJc w:val="right"/>
      <w:pPr>
        <w:ind w:left="1733" w:hanging="180"/>
      </w:pPr>
    </w:lvl>
    <w:lvl w:ilvl="3" w:tplc="0419000F" w:tentative="1">
      <w:start w:val="1"/>
      <w:numFmt w:val="decimal"/>
      <w:lvlText w:val="%4."/>
      <w:lvlJc w:val="left"/>
      <w:pPr>
        <w:ind w:left="2453" w:hanging="360"/>
      </w:pPr>
    </w:lvl>
    <w:lvl w:ilvl="4" w:tplc="04190019" w:tentative="1">
      <w:start w:val="1"/>
      <w:numFmt w:val="lowerLetter"/>
      <w:lvlText w:val="%5."/>
      <w:lvlJc w:val="left"/>
      <w:pPr>
        <w:ind w:left="3173" w:hanging="360"/>
      </w:pPr>
    </w:lvl>
    <w:lvl w:ilvl="5" w:tplc="0419001B" w:tentative="1">
      <w:start w:val="1"/>
      <w:numFmt w:val="lowerRoman"/>
      <w:lvlText w:val="%6."/>
      <w:lvlJc w:val="right"/>
      <w:pPr>
        <w:ind w:left="3893" w:hanging="180"/>
      </w:pPr>
    </w:lvl>
    <w:lvl w:ilvl="6" w:tplc="0419000F" w:tentative="1">
      <w:start w:val="1"/>
      <w:numFmt w:val="decimal"/>
      <w:lvlText w:val="%7."/>
      <w:lvlJc w:val="left"/>
      <w:pPr>
        <w:ind w:left="4613" w:hanging="360"/>
      </w:pPr>
    </w:lvl>
    <w:lvl w:ilvl="7" w:tplc="04190019" w:tentative="1">
      <w:start w:val="1"/>
      <w:numFmt w:val="lowerLetter"/>
      <w:lvlText w:val="%8."/>
      <w:lvlJc w:val="left"/>
      <w:pPr>
        <w:ind w:left="5333" w:hanging="360"/>
      </w:pPr>
    </w:lvl>
    <w:lvl w:ilvl="8" w:tplc="0419001B" w:tentative="1">
      <w:start w:val="1"/>
      <w:numFmt w:val="lowerRoman"/>
      <w:lvlText w:val="%9."/>
      <w:lvlJc w:val="right"/>
      <w:pPr>
        <w:ind w:left="6053" w:hanging="180"/>
      </w:pPr>
    </w:lvl>
  </w:abstractNum>
  <w:abstractNum w:abstractNumId="2">
    <w:nsid w:val="29C11492"/>
    <w:multiLevelType w:val="hybridMultilevel"/>
    <w:tmpl w:val="A1E454AC"/>
    <w:lvl w:ilvl="0" w:tplc="A2809D6C">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nsid w:val="2B7B535E"/>
    <w:multiLevelType w:val="hybridMultilevel"/>
    <w:tmpl w:val="A3AA50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EA73FC"/>
    <w:multiLevelType w:val="hybridMultilevel"/>
    <w:tmpl w:val="6EECEBE4"/>
    <w:lvl w:ilvl="0" w:tplc="8C88AF74">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D52A2"/>
    <w:rsid w:val="00004E98"/>
    <w:rsid w:val="000072F4"/>
    <w:rsid w:val="00010461"/>
    <w:rsid w:val="000129B9"/>
    <w:rsid w:val="00041CE2"/>
    <w:rsid w:val="00044CD8"/>
    <w:rsid w:val="0005551D"/>
    <w:rsid w:val="000627E8"/>
    <w:rsid w:val="00063E8A"/>
    <w:rsid w:val="001050A9"/>
    <w:rsid w:val="00127774"/>
    <w:rsid w:val="00130D32"/>
    <w:rsid w:val="00140564"/>
    <w:rsid w:val="001410FB"/>
    <w:rsid w:val="0014447D"/>
    <w:rsid w:val="00170E5A"/>
    <w:rsid w:val="00173CB8"/>
    <w:rsid w:val="001B1595"/>
    <w:rsid w:val="001F6658"/>
    <w:rsid w:val="00224300"/>
    <w:rsid w:val="00242551"/>
    <w:rsid w:val="00267A4C"/>
    <w:rsid w:val="002719A7"/>
    <w:rsid w:val="002B0603"/>
    <w:rsid w:val="002B652F"/>
    <w:rsid w:val="002C7B3A"/>
    <w:rsid w:val="002E21DB"/>
    <w:rsid w:val="002F1D9F"/>
    <w:rsid w:val="0033106E"/>
    <w:rsid w:val="003777C5"/>
    <w:rsid w:val="00395446"/>
    <w:rsid w:val="003A7BA5"/>
    <w:rsid w:val="003B1239"/>
    <w:rsid w:val="003C2627"/>
    <w:rsid w:val="003C28E0"/>
    <w:rsid w:val="003D113E"/>
    <w:rsid w:val="00402B16"/>
    <w:rsid w:val="00403255"/>
    <w:rsid w:val="00443E46"/>
    <w:rsid w:val="00447C2B"/>
    <w:rsid w:val="0046123C"/>
    <w:rsid w:val="0049161A"/>
    <w:rsid w:val="004B4C3D"/>
    <w:rsid w:val="004D07E1"/>
    <w:rsid w:val="004E4F64"/>
    <w:rsid w:val="004E6750"/>
    <w:rsid w:val="00534963"/>
    <w:rsid w:val="005553C2"/>
    <w:rsid w:val="0057566C"/>
    <w:rsid w:val="00576A1A"/>
    <w:rsid w:val="005812FC"/>
    <w:rsid w:val="0059216E"/>
    <w:rsid w:val="005D52A2"/>
    <w:rsid w:val="005F177A"/>
    <w:rsid w:val="006178D3"/>
    <w:rsid w:val="00636189"/>
    <w:rsid w:val="00641C0E"/>
    <w:rsid w:val="00693C01"/>
    <w:rsid w:val="006F22BF"/>
    <w:rsid w:val="007220B4"/>
    <w:rsid w:val="0072723E"/>
    <w:rsid w:val="007305E3"/>
    <w:rsid w:val="00737FCA"/>
    <w:rsid w:val="00752722"/>
    <w:rsid w:val="00762438"/>
    <w:rsid w:val="007A73BF"/>
    <w:rsid w:val="007A7DF4"/>
    <w:rsid w:val="007B3047"/>
    <w:rsid w:val="007B3A78"/>
    <w:rsid w:val="007D0FEA"/>
    <w:rsid w:val="007D105E"/>
    <w:rsid w:val="007D5EEB"/>
    <w:rsid w:val="007D76C5"/>
    <w:rsid w:val="00802B03"/>
    <w:rsid w:val="00830B96"/>
    <w:rsid w:val="00833224"/>
    <w:rsid w:val="008544CE"/>
    <w:rsid w:val="008621EA"/>
    <w:rsid w:val="00875BDD"/>
    <w:rsid w:val="008A120E"/>
    <w:rsid w:val="008A5AA1"/>
    <w:rsid w:val="008B7D40"/>
    <w:rsid w:val="008F34D3"/>
    <w:rsid w:val="009223B0"/>
    <w:rsid w:val="0094222F"/>
    <w:rsid w:val="00945AF5"/>
    <w:rsid w:val="00957EA1"/>
    <w:rsid w:val="009A5185"/>
    <w:rsid w:val="009F0214"/>
    <w:rsid w:val="00A06239"/>
    <w:rsid w:val="00A100C3"/>
    <w:rsid w:val="00A12559"/>
    <w:rsid w:val="00A3109A"/>
    <w:rsid w:val="00A414C6"/>
    <w:rsid w:val="00A50AB5"/>
    <w:rsid w:val="00A60F0D"/>
    <w:rsid w:val="00A7496A"/>
    <w:rsid w:val="00A83543"/>
    <w:rsid w:val="00A955C0"/>
    <w:rsid w:val="00AA2B41"/>
    <w:rsid w:val="00AB7E99"/>
    <w:rsid w:val="00AC2A92"/>
    <w:rsid w:val="00B02141"/>
    <w:rsid w:val="00B2235A"/>
    <w:rsid w:val="00B25899"/>
    <w:rsid w:val="00B26397"/>
    <w:rsid w:val="00B50256"/>
    <w:rsid w:val="00B50351"/>
    <w:rsid w:val="00B655DA"/>
    <w:rsid w:val="00B72AFE"/>
    <w:rsid w:val="00B84E50"/>
    <w:rsid w:val="00B9431F"/>
    <w:rsid w:val="00BA4A4B"/>
    <w:rsid w:val="00BC29BA"/>
    <w:rsid w:val="00BC470F"/>
    <w:rsid w:val="00BD01D7"/>
    <w:rsid w:val="00BD20E5"/>
    <w:rsid w:val="00C03D00"/>
    <w:rsid w:val="00C17A39"/>
    <w:rsid w:val="00C43941"/>
    <w:rsid w:val="00C46B09"/>
    <w:rsid w:val="00C57CE1"/>
    <w:rsid w:val="00C64E3D"/>
    <w:rsid w:val="00C66965"/>
    <w:rsid w:val="00C87D86"/>
    <w:rsid w:val="00C93779"/>
    <w:rsid w:val="00CB7623"/>
    <w:rsid w:val="00CD42BB"/>
    <w:rsid w:val="00CF6C8A"/>
    <w:rsid w:val="00D065DD"/>
    <w:rsid w:val="00D75C06"/>
    <w:rsid w:val="00DA17D2"/>
    <w:rsid w:val="00DA26C6"/>
    <w:rsid w:val="00DC40FA"/>
    <w:rsid w:val="00DF29E6"/>
    <w:rsid w:val="00E1706B"/>
    <w:rsid w:val="00E177A1"/>
    <w:rsid w:val="00E210AB"/>
    <w:rsid w:val="00E31E8A"/>
    <w:rsid w:val="00E70A88"/>
    <w:rsid w:val="00E84F98"/>
    <w:rsid w:val="00E97A25"/>
    <w:rsid w:val="00EA5807"/>
    <w:rsid w:val="00ED5904"/>
    <w:rsid w:val="00F07C60"/>
    <w:rsid w:val="00F26900"/>
    <w:rsid w:val="00F30B3D"/>
    <w:rsid w:val="00F36C58"/>
    <w:rsid w:val="00F4294A"/>
    <w:rsid w:val="00F42DB2"/>
    <w:rsid w:val="00F60863"/>
    <w:rsid w:val="00F7055E"/>
    <w:rsid w:val="00FA54EC"/>
    <w:rsid w:val="00FB37D4"/>
    <w:rsid w:val="00FE54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06B"/>
  </w:style>
  <w:style w:type="paragraph" w:styleId="2">
    <w:name w:val="heading 2"/>
    <w:basedOn w:val="a"/>
    <w:next w:val="a"/>
    <w:link w:val="20"/>
    <w:uiPriority w:val="9"/>
    <w:unhideWhenUsed/>
    <w:qFormat/>
    <w:rsid w:val="00B72A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A83543"/>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8354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0F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0129B9"/>
    <w:pPr>
      <w:ind w:left="720"/>
      <w:contextualSpacing/>
    </w:pPr>
  </w:style>
  <w:style w:type="character" w:styleId="a5">
    <w:name w:val="Hyperlink"/>
    <w:basedOn w:val="a0"/>
    <w:unhideWhenUsed/>
    <w:rsid w:val="007B3A78"/>
    <w:rPr>
      <w:color w:val="0000FF"/>
      <w:u w:val="single"/>
    </w:rPr>
  </w:style>
  <w:style w:type="paragraph" w:styleId="a6">
    <w:name w:val="caption"/>
    <w:basedOn w:val="a"/>
    <w:qFormat/>
    <w:rsid w:val="00F07C60"/>
    <w:pPr>
      <w:jc w:val="center"/>
    </w:pPr>
    <w:rPr>
      <w:rFonts w:ascii="Times New Roman" w:eastAsia="Times New Roman" w:hAnsi="Times New Roman" w:cs="Times New Roman"/>
      <w:sz w:val="24"/>
      <w:szCs w:val="20"/>
      <w:lang w:eastAsia="ru-RU"/>
    </w:rPr>
  </w:style>
  <w:style w:type="character" w:customStyle="1" w:styleId="FontStyle22">
    <w:name w:val="Font Style22"/>
    <w:basedOn w:val="a0"/>
    <w:uiPriority w:val="99"/>
    <w:rsid w:val="00CD42BB"/>
    <w:rPr>
      <w:rFonts w:ascii="Times New Roman" w:hAnsi="Times New Roman" w:cs="Times New Roman" w:hint="default"/>
      <w:sz w:val="26"/>
      <w:szCs w:val="26"/>
    </w:rPr>
  </w:style>
  <w:style w:type="paragraph" w:customStyle="1" w:styleId="Style4">
    <w:name w:val="Style4"/>
    <w:basedOn w:val="a"/>
    <w:uiPriority w:val="99"/>
    <w:rsid w:val="00CD42BB"/>
    <w:pPr>
      <w:widowControl w:val="0"/>
      <w:autoSpaceDE w:val="0"/>
      <w:autoSpaceDN w:val="0"/>
      <w:adjustRightInd w:val="0"/>
      <w:spacing w:line="322" w:lineRule="exact"/>
      <w:ind w:firstLine="701"/>
      <w:jc w:val="both"/>
    </w:pPr>
    <w:rPr>
      <w:rFonts w:ascii="Times New Roman" w:eastAsia="Times New Roman" w:hAnsi="Times New Roman" w:cs="Times New Roman"/>
      <w:sz w:val="24"/>
      <w:szCs w:val="24"/>
      <w:lang w:val="ru-RU" w:eastAsia="ru-RU"/>
    </w:rPr>
  </w:style>
  <w:style w:type="paragraph" w:customStyle="1" w:styleId="rvps14">
    <w:name w:val="rvps14"/>
    <w:basedOn w:val="a"/>
    <w:rsid w:val="00A100C3"/>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BodyTextIndent">
    <w:name w:val="Body Text Indent Знак"/>
    <w:basedOn w:val="a"/>
    <w:link w:val="BodyTextIndent0"/>
    <w:rsid w:val="00443E46"/>
    <w:pPr>
      <w:shd w:val="clear" w:color="auto" w:fill="FFFFFF"/>
      <w:ind w:firstLine="851"/>
      <w:jc w:val="both"/>
    </w:pPr>
    <w:rPr>
      <w:rFonts w:ascii="Times New Roman" w:eastAsia="Times New Roman" w:hAnsi="Times New Roman" w:cs="Times New Roman"/>
      <w:snapToGrid w:val="0"/>
      <w:color w:val="000000"/>
      <w:sz w:val="28"/>
      <w:szCs w:val="20"/>
      <w:shd w:val="clear" w:color="auto" w:fill="FFFFFF"/>
      <w:lang w:eastAsia="ru-RU"/>
    </w:rPr>
  </w:style>
  <w:style w:type="character" w:customStyle="1" w:styleId="BodyTextIndent0">
    <w:name w:val="Body Text Indent Знак Знак"/>
    <w:basedOn w:val="a0"/>
    <w:link w:val="BodyTextIndent"/>
    <w:rsid w:val="00443E46"/>
    <w:rPr>
      <w:rFonts w:ascii="Times New Roman" w:eastAsia="Times New Roman" w:hAnsi="Times New Roman" w:cs="Times New Roman"/>
      <w:snapToGrid w:val="0"/>
      <w:color w:val="000000"/>
      <w:sz w:val="28"/>
      <w:szCs w:val="20"/>
      <w:shd w:val="clear" w:color="auto" w:fill="FFFFFF"/>
      <w:lang w:eastAsia="ru-RU"/>
    </w:rPr>
  </w:style>
  <w:style w:type="character" w:customStyle="1" w:styleId="20">
    <w:name w:val="Заголовок 2 Знак"/>
    <w:basedOn w:val="a0"/>
    <w:link w:val="2"/>
    <w:uiPriority w:val="9"/>
    <w:rsid w:val="00B72AFE"/>
    <w:rPr>
      <w:rFonts w:asciiTheme="majorHAnsi" w:eastAsiaTheme="majorEastAsia" w:hAnsiTheme="majorHAnsi" w:cstheme="majorBidi"/>
      <w:b/>
      <w:bCs/>
      <w:color w:val="4F81BD" w:themeColor="accent1"/>
      <w:sz w:val="26"/>
      <w:szCs w:val="26"/>
    </w:rPr>
  </w:style>
  <w:style w:type="paragraph" w:styleId="a7">
    <w:name w:val="Title"/>
    <w:aliases w:val="Знак,Знак Знак Знак Знак Знак Знак Знак Знак Знак2,Знак Знак Знак Знак Знак Знак Знак,Знак Знак Знак Знак Знак Знак Знак Знак Знак Знак Знак Знак Знак,Знак Знак Знак Знак Знак Зн,Знак Знак Знак Знак Знак Знак Знак Знак"/>
    <w:basedOn w:val="a"/>
    <w:link w:val="a8"/>
    <w:qFormat/>
    <w:rsid w:val="00A3109A"/>
    <w:pPr>
      <w:jc w:val="center"/>
    </w:pPr>
    <w:rPr>
      <w:rFonts w:ascii="Times New Roman" w:eastAsia="Times New Roman" w:hAnsi="Times New Roman" w:cs="Times New Roman"/>
      <w:b/>
      <w:sz w:val="24"/>
      <w:szCs w:val="20"/>
      <w:lang w:eastAsia="ru-RU"/>
    </w:rPr>
  </w:style>
  <w:style w:type="character" w:customStyle="1" w:styleId="a8">
    <w:name w:val="Название Знак"/>
    <w:aliases w:val="Знак Знак,Знак Знак Знак Знак Знак Знак Знак Знак Знак2 Знак,Знак Знак Знак Знак Знак Знак Знак Знак1,Знак Знак Знак Знак Знак Знак Знак Знак Знак Знак Знак Знак Знак Знак,Знак Знак Знак Знак Знак Зн Знак"/>
    <w:basedOn w:val="a0"/>
    <w:link w:val="a7"/>
    <w:rsid w:val="00A3109A"/>
    <w:rPr>
      <w:rFonts w:ascii="Times New Roman" w:eastAsia="Times New Roman" w:hAnsi="Times New Roman" w:cs="Times New Roman"/>
      <w:b/>
      <w:sz w:val="24"/>
      <w:szCs w:val="20"/>
      <w:lang w:eastAsia="ru-RU"/>
    </w:rPr>
  </w:style>
  <w:style w:type="character" w:customStyle="1" w:styleId="rvts0">
    <w:name w:val="rvts0"/>
    <w:basedOn w:val="a0"/>
    <w:rsid w:val="003C28E0"/>
  </w:style>
  <w:style w:type="character" w:customStyle="1" w:styleId="50">
    <w:name w:val="Заголовок 5 Знак"/>
    <w:basedOn w:val="a0"/>
    <w:link w:val="5"/>
    <w:uiPriority w:val="9"/>
    <w:semiHidden/>
    <w:rsid w:val="00A83543"/>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83543"/>
    <w:rPr>
      <w:rFonts w:asciiTheme="majorHAnsi" w:eastAsiaTheme="majorEastAsia" w:hAnsiTheme="majorHAnsi" w:cstheme="majorBidi"/>
      <w:i/>
      <w:iCs/>
      <w:color w:val="404040" w:themeColor="text1" w:themeTint="BF"/>
    </w:rPr>
  </w:style>
  <w:style w:type="paragraph" w:customStyle="1" w:styleId="a9">
    <w:name w:val="Нормальний текст"/>
    <w:basedOn w:val="a"/>
    <w:rsid w:val="00E84F98"/>
    <w:pPr>
      <w:spacing w:before="120"/>
      <w:ind w:firstLine="567"/>
    </w:pPr>
    <w:rPr>
      <w:rFonts w:ascii="Antiqua" w:eastAsia="Times New Roman" w:hAnsi="Antiqua" w:cs="Times New Roman"/>
      <w:sz w:val="26"/>
      <w:szCs w:val="20"/>
      <w:lang w:eastAsia="ru-RU"/>
    </w:rPr>
  </w:style>
  <w:style w:type="paragraph" w:customStyle="1" w:styleId="msonormalbullet1gif">
    <w:name w:val="msonormalbullet1.gif"/>
    <w:basedOn w:val="a"/>
    <w:rsid w:val="0046123C"/>
    <w:pPr>
      <w:spacing w:before="100" w:beforeAutospacing="1" w:after="100" w:afterAutospacing="1"/>
    </w:pPr>
    <w:rPr>
      <w:rFonts w:ascii="Times New Roman" w:eastAsia="Times New Roman" w:hAnsi="Times New Roman" w:cs="Times New Roman"/>
      <w:sz w:val="24"/>
      <w:szCs w:val="24"/>
      <w:lang w:eastAsia="uk-UA"/>
    </w:rPr>
  </w:style>
  <w:style w:type="paragraph" w:styleId="aa">
    <w:name w:val="Normal (Web)"/>
    <w:basedOn w:val="a"/>
    <w:link w:val="ab"/>
    <w:uiPriority w:val="99"/>
    <w:rsid w:val="0072723E"/>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b">
    <w:name w:val="Обычный (веб) Знак"/>
    <w:link w:val="aa"/>
    <w:uiPriority w:val="99"/>
    <w:locked/>
    <w:rsid w:val="0072723E"/>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99416777">
      <w:bodyDiv w:val="1"/>
      <w:marLeft w:val="0"/>
      <w:marRight w:val="0"/>
      <w:marTop w:val="0"/>
      <w:marBottom w:val="0"/>
      <w:divBdr>
        <w:top w:val="none" w:sz="0" w:space="0" w:color="auto"/>
        <w:left w:val="none" w:sz="0" w:space="0" w:color="auto"/>
        <w:bottom w:val="none" w:sz="0" w:space="0" w:color="auto"/>
        <w:right w:val="none" w:sz="0" w:space="0" w:color="auto"/>
      </w:divBdr>
    </w:div>
    <w:div w:id="87250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984_a11/paran30" TargetMode="External"/><Relationship Id="rId3" Type="http://schemas.openxmlformats.org/officeDocument/2006/relationships/styles" Target="styles.xml"/><Relationship Id="rId7" Type="http://schemas.openxmlformats.org/officeDocument/2006/relationships/hyperlink" Target="http://zakon2.rada.gov.ua/laws/show/984_011/paran24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2.rada.gov.ua/laws/show/324/95-%D0%B2%D1%8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ergetika.in.ua/ua/books/book-5/part-5/section-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40B4E-2168-4E7C-951D-62BC0633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10</Pages>
  <Words>4278</Words>
  <Characters>24391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nataliia.kozuliak</cp:lastModifiedBy>
  <cp:revision>135</cp:revision>
  <cp:lastPrinted>2021-03-24T13:32:00Z</cp:lastPrinted>
  <dcterms:created xsi:type="dcterms:W3CDTF">2018-03-26T12:47:00Z</dcterms:created>
  <dcterms:modified xsi:type="dcterms:W3CDTF">2021-03-24T13:32:00Z</dcterms:modified>
</cp:coreProperties>
</file>