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799" w:rsidRPr="00F353B8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  <w:r w:rsidRPr="00F353B8">
        <w:rPr>
          <w:b/>
          <w:sz w:val="24"/>
          <w:szCs w:val="24"/>
        </w:rPr>
        <w:t>АНАЛІТИЧНА ДОВІДКА</w:t>
      </w:r>
      <w:r w:rsidR="000F25FE" w:rsidRPr="00F353B8">
        <w:rPr>
          <w:b/>
          <w:sz w:val="24"/>
          <w:szCs w:val="24"/>
        </w:rPr>
        <w:t xml:space="preserve"> ЗА</w:t>
      </w:r>
      <w:r w:rsidR="006E018E">
        <w:rPr>
          <w:b/>
          <w:sz w:val="24"/>
          <w:szCs w:val="24"/>
        </w:rPr>
        <w:t xml:space="preserve"> </w:t>
      </w:r>
      <w:r w:rsidR="00CB7F67" w:rsidRPr="00F353B8">
        <w:rPr>
          <w:b/>
          <w:sz w:val="24"/>
          <w:szCs w:val="24"/>
        </w:rPr>
        <w:t>СІЧЕНЬ</w:t>
      </w:r>
      <w:r w:rsidR="00C20562">
        <w:rPr>
          <w:b/>
          <w:sz w:val="24"/>
          <w:szCs w:val="24"/>
        </w:rPr>
        <w:t>-ЛЮТИЙ</w:t>
      </w:r>
      <w:r w:rsidR="00CB7F67" w:rsidRPr="00F353B8">
        <w:rPr>
          <w:b/>
          <w:sz w:val="24"/>
          <w:szCs w:val="24"/>
        </w:rPr>
        <w:t xml:space="preserve"> 201</w:t>
      </w:r>
      <w:r w:rsidR="004877A9">
        <w:rPr>
          <w:b/>
          <w:sz w:val="24"/>
          <w:szCs w:val="24"/>
        </w:rPr>
        <w:t>6</w:t>
      </w:r>
      <w:r w:rsidR="00AB79CE">
        <w:rPr>
          <w:b/>
          <w:sz w:val="24"/>
          <w:szCs w:val="24"/>
        </w:rPr>
        <w:t xml:space="preserve"> </w:t>
      </w:r>
      <w:r w:rsidR="00717932" w:rsidRPr="00F353B8">
        <w:rPr>
          <w:b/>
          <w:sz w:val="24"/>
          <w:szCs w:val="24"/>
        </w:rPr>
        <w:t>Р</w:t>
      </w:r>
      <w:r w:rsidR="00CB7F67" w:rsidRPr="00F353B8">
        <w:rPr>
          <w:b/>
          <w:sz w:val="24"/>
          <w:szCs w:val="24"/>
        </w:rPr>
        <w:t>О</w:t>
      </w:r>
      <w:r w:rsidR="00B234E3" w:rsidRPr="00F353B8">
        <w:rPr>
          <w:b/>
          <w:sz w:val="24"/>
          <w:szCs w:val="24"/>
        </w:rPr>
        <w:t>К</w:t>
      </w:r>
      <w:r w:rsidR="00CB7F67" w:rsidRPr="00F353B8">
        <w:rPr>
          <w:b/>
          <w:sz w:val="24"/>
          <w:szCs w:val="24"/>
        </w:rPr>
        <w:t>У</w:t>
      </w:r>
    </w:p>
    <w:p w:rsidR="00B046B4" w:rsidRPr="00F353B8" w:rsidRDefault="00990799" w:rsidP="00CB796B">
      <w:pPr>
        <w:pStyle w:val="32"/>
        <w:spacing w:after="0"/>
        <w:ind w:firstLine="540"/>
        <w:jc w:val="center"/>
        <w:rPr>
          <w:b/>
          <w:sz w:val="24"/>
          <w:szCs w:val="24"/>
        </w:rPr>
      </w:pPr>
      <w:r w:rsidRPr="00F353B8">
        <w:rPr>
          <w:b/>
          <w:sz w:val="24"/>
          <w:szCs w:val="24"/>
        </w:rPr>
        <w:t>ЩОДО ЕКОНОМІЧНОГО РОЗВИТКУ ВІННИЦЬКОЇ ОБЛАСТІ</w:t>
      </w:r>
    </w:p>
    <w:p w:rsidR="00C573CC" w:rsidRPr="00F353B8" w:rsidRDefault="00C573CC" w:rsidP="00CB796B">
      <w:pPr>
        <w:pStyle w:val="32"/>
        <w:spacing w:after="0"/>
        <w:ind w:firstLine="540"/>
        <w:jc w:val="center"/>
        <w:rPr>
          <w:b/>
          <w:i/>
          <w:sz w:val="24"/>
          <w:szCs w:val="24"/>
          <w:u w:val="single"/>
        </w:rPr>
      </w:pPr>
      <w:r w:rsidRPr="00F353B8">
        <w:rPr>
          <w:b/>
          <w:i/>
          <w:sz w:val="24"/>
          <w:szCs w:val="24"/>
          <w:u w:val="single"/>
        </w:rPr>
        <w:t>За даними та методикою розрахунків</w:t>
      </w:r>
    </w:p>
    <w:p w:rsidR="003F72CE" w:rsidRPr="00F353B8" w:rsidRDefault="00C573CC" w:rsidP="00CB796B">
      <w:pPr>
        <w:pStyle w:val="32"/>
        <w:spacing w:after="0"/>
        <w:ind w:firstLine="540"/>
        <w:jc w:val="center"/>
        <w:rPr>
          <w:b/>
          <w:i/>
          <w:sz w:val="24"/>
          <w:szCs w:val="24"/>
          <w:u w:val="single"/>
        </w:rPr>
      </w:pPr>
      <w:r w:rsidRPr="00F353B8">
        <w:rPr>
          <w:b/>
          <w:i/>
          <w:sz w:val="24"/>
          <w:szCs w:val="24"/>
          <w:u w:val="single"/>
        </w:rPr>
        <w:t>Головного управління статистики у Вінницькій області</w:t>
      </w:r>
    </w:p>
    <w:p w:rsidR="00990799" w:rsidRPr="00F353B8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990799" w:rsidRPr="00F353B8" w:rsidRDefault="00990799" w:rsidP="00CB796B">
      <w:pPr>
        <w:pStyle w:val="Iniiaiieoaeno"/>
        <w:spacing w:line="240" w:lineRule="auto"/>
        <w:ind w:firstLine="284"/>
        <w:jc w:val="center"/>
        <w:outlineLvl w:val="0"/>
        <w:rPr>
          <w:b/>
          <w:sz w:val="24"/>
          <w:szCs w:val="24"/>
          <w:lang w:val="uk-UA"/>
        </w:rPr>
      </w:pPr>
      <w:r w:rsidRPr="00F353B8">
        <w:rPr>
          <w:b/>
          <w:sz w:val="24"/>
          <w:szCs w:val="24"/>
          <w:lang w:val="uk-UA"/>
        </w:rPr>
        <w:t>ПРОМИСЛОВЕ ВИРОБНИЦТВО</w:t>
      </w:r>
    </w:p>
    <w:tbl>
      <w:tblPr>
        <w:tblW w:w="107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050"/>
      </w:tblGrid>
      <w:tr w:rsidR="00CB796B" w:rsidRPr="00D91C9A" w:rsidTr="00421ED8">
        <w:trPr>
          <w:trHeight w:val="835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87DC3" w:rsidRPr="00D91C9A" w:rsidRDefault="00990799" w:rsidP="00CB796B">
            <w:pPr>
              <w:snapToGrid w:val="0"/>
              <w:rPr>
                <w:b/>
                <w:i/>
              </w:rPr>
            </w:pPr>
            <w:r w:rsidRPr="00D91C9A">
              <w:rPr>
                <w:b/>
                <w:i/>
              </w:rPr>
              <w:t>Аналіз роботи галузей промисловості</w:t>
            </w:r>
          </w:p>
          <w:p w:rsidR="00990799" w:rsidRPr="00D91C9A" w:rsidRDefault="00990799" w:rsidP="00CB796B">
            <w:pPr>
              <w:jc w:val="center"/>
            </w:pPr>
          </w:p>
        </w:tc>
        <w:tc>
          <w:tcPr>
            <w:tcW w:w="9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C9A" w:rsidRPr="00D91C9A" w:rsidRDefault="00D91C9A" w:rsidP="00D91C9A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D91C9A">
              <w:rPr>
                <w:bCs/>
                <w:iCs/>
              </w:rPr>
              <w:t>За інформацією Головного управління статистики у Вінницькій області у січні</w:t>
            </w:r>
            <w:r w:rsidRPr="00D91C9A">
              <w:rPr>
                <w:bCs/>
                <w:iCs/>
                <w:lang w:val="ru-RU"/>
              </w:rPr>
              <w:t>-лютому</w:t>
            </w:r>
            <w:r w:rsidRPr="00D91C9A">
              <w:rPr>
                <w:bCs/>
                <w:iCs/>
              </w:rPr>
              <w:t xml:space="preserve"> 2016 року індекс промислового виробництва склав </w:t>
            </w:r>
            <w:r w:rsidRPr="00D91C9A">
              <w:rPr>
                <w:bCs/>
                <w:iCs/>
                <w:lang w:val="ru-RU"/>
              </w:rPr>
              <w:t>95,2</w:t>
            </w:r>
            <w:r w:rsidRPr="00D91C9A">
              <w:rPr>
                <w:bCs/>
                <w:iCs/>
              </w:rPr>
              <w:t xml:space="preserve">% до відповідного періоду 2015 року, а виробництво у </w:t>
            </w:r>
            <w:r w:rsidRPr="00D91C9A">
              <w:rPr>
                <w:bCs/>
                <w:iCs/>
                <w:lang w:val="ru-RU"/>
              </w:rPr>
              <w:t>лютому</w:t>
            </w:r>
            <w:r w:rsidRPr="00D91C9A">
              <w:rPr>
                <w:bCs/>
                <w:iCs/>
              </w:rPr>
              <w:t xml:space="preserve"> 2015 року </w:t>
            </w:r>
            <w:proofErr w:type="spellStart"/>
            <w:r w:rsidRPr="00D91C9A">
              <w:rPr>
                <w:bCs/>
                <w:iCs/>
                <w:lang w:val="ru-RU"/>
              </w:rPr>
              <w:t>збільшено</w:t>
            </w:r>
            <w:proofErr w:type="spellEnd"/>
            <w:r w:rsidRPr="00D91C9A">
              <w:rPr>
                <w:bCs/>
                <w:iCs/>
              </w:rPr>
              <w:t xml:space="preserve"> на 9,4% від рівня січня 2015 року.</w:t>
            </w:r>
          </w:p>
          <w:p w:rsidR="00D91C9A" w:rsidRPr="00D91C9A" w:rsidRDefault="00D91C9A" w:rsidP="00D91C9A">
            <w:pPr>
              <w:suppressAutoHyphens/>
              <w:ind w:firstLine="709"/>
              <w:jc w:val="both"/>
              <w:rPr>
                <w:bCs/>
                <w:i/>
                <w:iCs/>
                <w:lang w:val="ru-RU"/>
              </w:rPr>
            </w:pPr>
            <w:r w:rsidRPr="00D91C9A">
              <w:rPr>
                <w:bCs/>
                <w:iCs/>
              </w:rPr>
              <w:t>Серед областей України Вінницька область за результатами роботи підприємств промисловості за січень-лютий 2016 року посідає 19 місце (</w:t>
            </w:r>
            <w:r w:rsidRPr="00D91C9A">
              <w:rPr>
                <w:bCs/>
                <w:i/>
                <w:iCs/>
              </w:rPr>
              <w:t xml:space="preserve">індекс промислової продукції по Україні становить </w:t>
            </w:r>
            <w:r w:rsidRPr="00D91C9A">
              <w:rPr>
                <w:bCs/>
                <w:i/>
                <w:iCs/>
                <w:lang w:val="ru-RU"/>
              </w:rPr>
              <w:t>102,9</w:t>
            </w:r>
            <w:r w:rsidRPr="00D91C9A">
              <w:rPr>
                <w:bCs/>
                <w:i/>
                <w:iCs/>
              </w:rPr>
              <w:t>%</w:t>
            </w:r>
            <w:r w:rsidRPr="00D91C9A">
              <w:rPr>
                <w:bCs/>
                <w:iCs/>
              </w:rPr>
              <w:t>).</w:t>
            </w:r>
          </w:p>
          <w:p w:rsidR="00D91C9A" w:rsidRPr="00D91C9A" w:rsidRDefault="00D91C9A" w:rsidP="00D91C9A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D91C9A">
              <w:rPr>
                <w:bCs/>
                <w:iCs/>
              </w:rPr>
              <w:t xml:space="preserve">У січні-лютому 2016 року порівняно з відповідним періодом минулого року обсяги виробництва продукції у добувній та переробній промисловості збільшились на 8,9%, у переробній промисловості збільшення обсягів становить 11,1% (за рахунок збільшення обсягів у харчовій (12,7%), легкій (1,4%), фармацевтичній (96,9%), машинобудівній (28,7%), на підприємствах з виробництва будівельних матеріалів (36,3%). </w:t>
            </w:r>
          </w:p>
          <w:p w:rsidR="00D91C9A" w:rsidRPr="00D91C9A" w:rsidRDefault="00D91C9A" w:rsidP="00D91C9A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D91C9A">
              <w:rPr>
                <w:bCs/>
                <w:iCs/>
              </w:rPr>
              <w:t>Проте у січні-лютому 2016 року зменшення обсягів виробництва спостерігається у таких галузях як добувна (-51,8%), деревообробна (-0,7%), хімічна (-48,4%), металообробки (-5,9%).</w:t>
            </w:r>
          </w:p>
          <w:p w:rsidR="00D91C9A" w:rsidRPr="00D91C9A" w:rsidRDefault="00D91C9A" w:rsidP="00D91C9A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D91C9A">
              <w:rPr>
                <w:bCs/>
                <w:iCs/>
              </w:rPr>
              <w:t>У постачанні електроенергії, газу, пари та кондиційованого повітря обсяги зменшились на 33,4%.</w:t>
            </w:r>
          </w:p>
          <w:p w:rsidR="00D91C9A" w:rsidRPr="00D91C9A" w:rsidRDefault="00D91C9A" w:rsidP="00D91C9A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D91C9A">
              <w:rPr>
                <w:bCs/>
                <w:iCs/>
              </w:rPr>
              <w:t>За січень-лютий поточного року вироблено 608,0 млн. кВт. год електроенергії, що на 48,0% менше рівня попереднього року.</w:t>
            </w:r>
          </w:p>
          <w:p w:rsidR="00D91C9A" w:rsidRPr="00D91C9A" w:rsidRDefault="00D91C9A" w:rsidP="00D91C9A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411794">
              <w:rPr>
                <w:bCs/>
                <w:iCs/>
              </w:rPr>
              <w:t>У січні</w:t>
            </w:r>
            <w:r w:rsidR="00B40994" w:rsidRPr="00411794">
              <w:rPr>
                <w:bCs/>
                <w:iCs/>
              </w:rPr>
              <w:t>-</w:t>
            </w:r>
            <w:r w:rsidR="00B40994" w:rsidRPr="00411794">
              <w:rPr>
                <w:bCs/>
                <w:iCs/>
                <w:lang w:val="ru-RU"/>
              </w:rPr>
              <w:t>лютому</w:t>
            </w:r>
            <w:r w:rsidRPr="00411794">
              <w:rPr>
                <w:bCs/>
                <w:iCs/>
              </w:rPr>
              <w:t xml:space="preserve"> 2016 року підприємствами області </w:t>
            </w:r>
            <w:r w:rsidRPr="00411794">
              <w:rPr>
                <w:b/>
                <w:bCs/>
                <w:iCs/>
              </w:rPr>
              <w:t>реалізовано промислової продукції (товарів, послуг)</w:t>
            </w:r>
            <w:r w:rsidRPr="00411794">
              <w:rPr>
                <w:bCs/>
                <w:iCs/>
              </w:rPr>
              <w:t xml:space="preserve"> на </w:t>
            </w:r>
            <w:r w:rsidR="00B40994" w:rsidRPr="00411794">
              <w:t>3332,3</w:t>
            </w:r>
            <w:r w:rsidR="00B40994" w:rsidRPr="00411794">
              <w:rPr>
                <w:lang w:val="ru-RU"/>
              </w:rPr>
              <w:t xml:space="preserve"> </w:t>
            </w:r>
            <w:proofErr w:type="spellStart"/>
            <w:r w:rsidRPr="00411794">
              <w:rPr>
                <w:bCs/>
                <w:iCs/>
              </w:rPr>
              <w:t>млн.грн</w:t>
            </w:r>
            <w:proofErr w:type="spellEnd"/>
            <w:r w:rsidRPr="00411794">
              <w:rPr>
                <w:bCs/>
                <w:iCs/>
              </w:rPr>
              <w:t>.</w:t>
            </w:r>
          </w:p>
          <w:p w:rsidR="00870EE9" w:rsidRPr="00D91C9A" w:rsidRDefault="00411794" w:rsidP="00411794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411794">
              <w:rPr>
                <w:bCs/>
                <w:iCs/>
              </w:rPr>
              <w:t>В структурі обсягів реалізованої промислової продукції найбільша частка (77,5%) припадає на переробн</w:t>
            </w:r>
            <w:r>
              <w:rPr>
                <w:bCs/>
                <w:iCs/>
              </w:rPr>
              <w:t>у промисловість, з неї: 65,3% –</w:t>
            </w:r>
            <w:r w:rsidRPr="00411794">
              <w:rPr>
                <w:bCs/>
                <w:iCs/>
              </w:rPr>
              <w:t xml:space="preserve"> </w:t>
            </w:r>
            <w:r w:rsidRPr="00411794">
              <w:rPr>
                <w:bCs/>
                <w:iCs/>
              </w:rPr>
              <w:t>на виробництво харчових продуктів, напоїв, 3,2% – на виготовлення виробів з деревини, виробництво паперу та поліграфічну діяльність, 2,9% –</w:t>
            </w:r>
            <w:r w:rsidRPr="00411794">
              <w:rPr>
                <w:bCs/>
                <w:iCs/>
              </w:rPr>
              <w:t xml:space="preserve"> </w:t>
            </w:r>
            <w:r w:rsidRPr="00411794">
              <w:rPr>
                <w:bCs/>
                <w:iCs/>
              </w:rPr>
              <w:t xml:space="preserve">на металургійне виробництво, виробництво готових металевих виробів, крім машин і </w:t>
            </w:r>
            <w:proofErr w:type="spellStart"/>
            <w:r w:rsidRPr="00411794">
              <w:rPr>
                <w:bCs/>
                <w:iCs/>
              </w:rPr>
              <w:t>устатковання</w:t>
            </w:r>
            <w:proofErr w:type="spellEnd"/>
            <w:r w:rsidRPr="00411794">
              <w:rPr>
                <w:bCs/>
                <w:iCs/>
              </w:rPr>
              <w:t>, 2,4% – на виробництво хімічних речовин і хімічної продукції. Підприємствами з виробництва та постачання електроенергії, газу, пари та кондиційованого повітря реалізується 20,9% продукції.</w:t>
            </w:r>
          </w:p>
        </w:tc>
      </w:tr>
      <w:tr w:rsidR="00CB796B" w:rsidRPr="00D91C9A" w:rsidTr="0023057C">
        <w:trPr>
          <w:trHeight w:val="80"/>
        </w:trPr>
        <w:tc>
          <w:tcPr>
            <w:tcW w:w="10752" w:type="dxa"/>
            <w:gridSpan w:val="2"/>
            <w:tcBorders>
              <w:left w:val="nil"/>
              <w:right w:val="nil"/>
            </w:tcBorders>
          </w:tcPr>
          <w:p w:rsidR="00870EE9" w:rsidRPr="00D91C9A" w:rsidRDefault="00870EE9" w:rsidP="00870EE9">
            <w:pPr>
              <w:tabs>
                <w:tab w:val="left" w:pos="3400"/>
                <w:tab w:val="center" w:pos="5191"/>
              </w:tabs>
              <w:snapToGrid w:val="0"/>
              <w:rPr>
                <w:b/>
              </w:rPr>
            </w:pPr>
          </w:p>
          <w:p w:rsidR="00870EE9" w:rsidRPr="00D91C9A" w:rsidRDefault="00870EE9" w:rsidP="00870EE9">
            <w:pPr>
              <w:tabs>
                <w:tab w:val="left" w:pos="3400"/>
                <w:tab w:val="center" w:pos="5191"/>
              </w:tabs>
              <w:snapToGrid w:val="0"/>
              <w:rPr>
                <w:b/>
              </w:rPr>
            </w:pPr>
          </w:p>
          <w:p w:rsidR="00870EE9" w:rsidRPr="00D91C9A" w:rsidRDefault="00870EE9" w:rsidP="00870EE9">
            <w:pPr>
              <w:tabs>
                <w:tab w:val="left" w:pos="3400"/>
                <w:tab w:val="center" w:pos="5191"/>
              </w:tabs>
              <w:snapToGrid w:val="0"/>
              <w:rPr>
                <w:b/>
              </w:rPr>
            </w:pPr>
          </w:p>
          <w:p w:rsidR="002A4EC4" w:rsidRPr="00D91C9A" w:rsidRDefault="002A4EC4" w:rsidP="00CB796B">
            <w:pPr>
              <w:tabs>
                <w:tab w:val="left" w:pos="3400"/>
                <w:tab w:val="center" w:pos="5191"/>
              </w:tabs>
              <w:snapToGrid w:val="0"/>
              <w:jc w:val="center"/>
              <w:rPr>
                <w:b/>
              </w:rPr>
            </w:pPr>
            <w:r w:rsidRPr="00D91C9A">
              <w:rPr>
                <w:b/>
              </w:rPr>
              <w:t>МАЛЕ ПІДПРИЄМНИЦТВО</w:t>
            </w:r>
          </w:p>
        </w:tc>
      </w:tr>
      <w:tr w:rsidR="00CB796B" w:rsidRPr="00D91C9A" w:rsidTr="008704F2">
        <w:trPr>
          <w:trHeight w:val="991"/>
        </w:trPr>
        <w:tc>
          <w:tcPr>
            <w:tcW w:w="1702" w:type="dxa"/>
            <w:tcBorders>
              <w:bottom w:val="single" w:sz="4" w:space="0" w:color="auto"/>
            </w:tcBorders>
          </w:tcPr>
          <w:p w:rsidR="002A4EC4" w:rsidRPr="00D91C9A" w:rsidRDefault="002A4EC4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D91C9A">
              <w:rPr>
                <w:b/>
                <w:i/>
                <w:sz w:val="24"/>
                <w:szCs w:val="24"/>
              </w:rPr>
              <w:t>Мале підприємництво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C20562" w:rsidRPr="00D91C9A" w:rsidRDefault="00C20562" w:rsidP="00C20562">
            <w:pPr>
              <w:suppressAutoHyphens/>
              <w:ind w:firstLine="709"/>
              <w:jc w:val="both"/>
            </w:pPr>
            <w:r w:rsidRPr="00D91C9A">
              <w:t xml:space="preserve">За  даними моніторингу у січні-лютому 2016 року започаткували діяльність </w:t>
            </w:r>
            <w:r w:rsidRPr="00D91C9A">
              <w:rPr>
                <w:b/>
              </w:rPr>
              <w:t xml:space="preserve">1138 </w:t>
            </w:r>
            <w:r w:rsidRPr="00D91C9A">
              <w:t xml:space="preserve">новостворених суб’єктів господарювання,  що на 12,2% більше  порівняно з 2015 роком, із яких </w:t>
            </w:r>
            <w:r w:rsidRPr="00D91C9A">
              <w:rPr>
                <w:b/>
              </w:rPr>
              <w:t xml:space="preserve">230 – </w:t>
            </w:r>
            <w:r w:rsidRPr="00D91C9A">
              <w:t>юридичних осіб (</w:t>
            </w:r>
            <w:r w:rsidRPr="00D91C9A">
              <w:rPr>
                <w:i/>
              </w:rPr>
              <w:t>на 27,8% більше)</w:t>
            </w:r>
            <w:r w:rsidRPr="00D91C9A">
              <w:t xml:space="preserve"> та </w:t>
            </w:r>
            <w:r w:rsidRPr="00D91C9A">
              <w:rPr>
                <w:b/>
              </w:rPr>
              <w:t xml:space="preserve">908 </w:t>
            </w:r>
            <w:r w:rsidRPr="00D91C9A">
              <w:t xml:space="preserve">– фізичних осіб-підприємців </w:t>
            </w:r>
            <w:r w:rsidRPr="00D91C9A">
              <w:rPr>
                <w:i/>
              </w:rPr>
              <w:t>(на 8,9% більше)</w:t>
            </w:r>
            <w:r w:rsidRPr="00D91C9A">
              <w:t>.</w:t>
            </w:r>
          </w:p>
          <w:p w:rsidR="00C20562" w:rsidRPr="00D91C9A" w:rsidRDefault="00C20562" w:rsidP="00C20562">
            <w:pPr>
              <w:suppressAutoHyphens/>
              <w:ind w:firstLine="709"/>
              <w:jc w:val="both"/>
            </w:pPr>
            <w:r w:rsidRPr="00D91C9A">
              <w:t xml:space="preserve">Одночасно припинили господарську діяльність </w:t>
            </w:r>
            <w:r w:rsidRPr="00D91C9A">
              <w:rPr>
                <w:b/>
              </w:rPr>
              <w:t xml:space="preserve">1205 </w:t>
            </w:r>
            <w:r w:rsidRPr="00D91C9A">
              <w:t>суб’єктів господарювання (</w:t>
            </w:r>
            <w:r w:rsidRPr="00D91C9A">
              <w:rPr>
                <w:i/>
              </w:rPr>
              <w:t>44 – юридичні особи та  1161 – фізична особа-підприємців</w:t>
            </w:r>
            <w:r w:rsidRPr="00D91C9A">
              <w:t xml:space="preserve">), що  </w:t>
            </w:r>
            <w:r w:rsidRPr="00D91C9A">
              <w:rPr>
                <w:i/>
              </w:rPr>
              <w:t>в 3,8  рази  менше</w:t>
            </w:r>
            <w:r w:rsidRPr="00D91C9A">
              <w:t xml:space="preserve"> порівняно з  2015 роком.</w:t>
            </w:r>
          </w:p>
          <w:p w:rsidR="00C20562" w:rsidRPr="00D91C9A" w:rsidRDefault="00C20562" w:rsidP="00C20562">
            <w:pPr>
              <w:suppressAutoHyphens/>
              <w:ind w:firstLine="709"/>
              <w:jc w:val="both"/>
            </w:pPr>
            <w:r w:rsidRPr="00D91C9A">
              <w:t xml:space="preserve">Найбільше новостворених суб’єктів господарювання  юридичних осіб в м. Вінниці  - 154, або 66,9 % від загальної кількості новостворених юридичних осіб, Тростянецькому районі – 7, або 3,0%, у </w:t>
            </w:r>
            <w:proofErr w:type="spellStart"/>
            <w:r w:rsidRPr="00D91C9A">
              <w:t>Калинівському</w:t>
            </w:r>
            <w:proofErr w:type="spellEnd"/>
            <w:r w:rsidRPr="00D91C9A">
              <w:t xml:space="preserve"> районі - 5, або 2,1%.</w:t>
            </w:r>
          </w:p>
          <w:p w:rsidR="00C20562" w:rsidRPr="00D91C9A" w:rsidRDefault="00C20562" w:rsidP="00C20562">
            <w:pPr>
              <w:suppressAutoHyphens/>
              <w:ind w:firstLine="709"/>
              <w:jc w:val="both"/>
            </w:pPr>
            <w:r w:rsidRPr="00D91C9A">
              <w:t xml:space="preserve">Найбільше новостворених фізичних осіб – підприємців: серед районів у Вінницькому (6,8% від загальної кількості  новостворених  фізичних  осіб -підприємців), Барському – 3,6 %, Гайсинському -  3,5%, </w:t>
            </w:r>
            <w:proofErr w:type="spellStart"/>
            <w:r w:rsidRPr="00D91C9A">
              <w:t>Калинівському</w:t>
            </w:r>
            <w:proofErr w:type="spellEnd"/>
            <w:r w:rsidRPr="00D91C9A">
              <w:t xml:space="preserve"> та Тульчинському районах – 3,3%.</w:t>
            </w:r>
          </w:p>
          <w:p w:rsidR="00C20562" w:rsidRPr="00D91C9A" w:rsidRDefault="00C20562" w:rsidP="00E44118">
            <w:pPr>
              <w:suppressAutoHyphens/>
              <w:ind w:firstLine="709"/>
              <w:jc w:val="both"/>
            </w:pPr>
            <w:r w:rsidRPr="00D91C9A">
              <w:lastRenderedPageBreak/>
              <w:t xml:space="preserve">Серед  міст обласного значення: у </w:t>
            </w:r>
            <w:proofErr w:type="spellStart"/>
            <w:r w:rsidRPr="00D91C9A">
              <w:t>м.Вінниці</w:t>
            </w:r>
            <w:proofErr w:type="spellEnd"/>
            <w:r w:rsidRPr="00D91C9A">
              <w:t xml:space="preserve"> -38,4%,  </w:t>
            </w:r>
            <w:proofErr w:type="spellStart"/>
            <w:r w:rsidRPr="00D91C9A">
              <w:t>м.Могилів</w:t>
            </w:r>
            <w:proofErr w:type="spellEnd"/>
            <w:r w:rsidRPr="00D91C9A">
              <w:t>-Подільському – 3,6%.</w:t>
            </w:r>
            <w:r w:rsidRPr="00D91C9A">
              <w:rPr>
                <w:lang w:val="ru-RU"/>
              </w:rPr>
              <w:t xml:space="preserve"> </w:t>
            </w:r>
            <w:r w:rsidRPr="00D91C9A">
              <w:t xml:space="preserve"> </w:t>
            </w:r>
          </w:p>
          <w:p w:rsidR="00C20562" w:rsidRPr="00D91C9A" w:rsidRDefault="00C20562" w:rsidP="00C20562">
            <w:pPr>
              <w:suppressAutoHyphens/>
              <w:ind w:firstLine="709"/>
              <w:jc w:val="both"/>
            </w:pPr>
          </w:p>
          <w:p w:rsidR="00C20562" w:rsidRPr="00D91C9A" w:rsidRDefault="00C20562" w:rsidP="00C20562">
            <w:pPr>
              <w:suppressAutoHyphens/>
              <w:ind w:firstLine="709"/>
              <w:jc w:val="both"/>
              <w:rPr>
                <w:color w:val="000000"/>
              </w:rPr>
            </w:pPr>
            <w:r w:rsidRPr="00D91C9A">
              <w:rPr>
                <w:color w:val="000000"/>
              </w:rPr>
              <w:t xml:space="preserve">При цьому, сума надходжень до бюджетів усіх рівнів від діяльності суб’єктів малого підприємництва у 2015 році становить 1437,5 </w:t>
            </w:r>
            <w:proofErr w:type="spellStart"/>
            <w:r w:rsidRPr="00D91C9A">
              <w:rPr>
                <w:color w:val="000000"/>
              </w:rPr>
              <w:t>млн.грн</w:t>
            </w:r>
            <w:proofErr w:type="spellEnd"/>
            <w:r w:rsidRPr="00D91C9A">
              <w:rPr>
                <w:color w:val="000000"/>
              </w:rPr>
              <w:t xml:space="preserve">., або 30,8% від загальних обсягів надходжень, що на 32,1% більше ніж у 2014 році. </w:t>
            </w:r>
          </w:p>
          <w:p w:rsidR="00C20562" w:rsidRPr="00D91C9A" w:rsidRDefault="00C20562" w:rsidP="00C20562">
            <w:pPr>
              <w:suppressAutoHyphens/>
              <w:ind w:firstLine="709"/>
              <w:jc w:val="both"/>
              <w:rPr>
                <w:color w:val="000000"/>
              </w:rPr>
            </w:pPr>
            <w:r w:rsidRPr="00D91C9A">
              <w:rPr>
                <w:color w:val="000000"/>
              </w:rPr>
              <w:t xml:space="preserve">Сума надходжень до місцевих бюджетів від діяльності суб’єктів малого підприємництва в порівнянні з 2014 роком  зросла на 31,1%, або на 222,4 </w:t>
            </w:r>
            <w:proofErr w:type="spellStart"/>
            <w:r w:rsidRPr="00D91C9A">
              <w:rPr>
                <w:color w:val="000000"/>
              </w:rPr>
              <w:t>млн.грн</w:t>
            </w:r>
            <w:proofErr w:type="spellEnd"/>
            <w:r w:rsidRPr="00D91C9A">
              <w:rPr>
                <w:color w:val="000000"/>
              </w:rPr>
              <w:t xml:space="preserve">. і  становить   937,6 </w:t>
            </w:r>
            <w:proofErr w:type="spellStart"/>
            <w:r w:rsidRPr="00D91C9A">
              <w:rPr>
                <w:color w:val="000000"/>
              </w:rPr>
              <w:t>млн.грн</w:t>
            </w:r>
            <w:proofErr w:type="spellEnd"/>
            <w:r w:rsidRPr="00D91C9A">
              <w:rPr>
                <w:color w:val="000000"/>
              </w:rPr>
              <w:t xml:space="preserve">., а їх частка в загальній сумі надходжень до місцевого бюджету складає 30,2%. </w:t>
            </w:r>
          </w:p>
          <w:p w:rsidR="002A4EC4" w:rsidRPr="00D91C9A" w:rsidRDefault="00C20562" w:rsidP="00C20562">
            <w:pPr>
              <w:suppressAutoHyphens/>
              <w:ind w:firstLine="709"/>
              <w:jc w:val="both"/>
            </w:pPr>
            <w:r w:rsidRPr="00D91C9A">
              <w:rPr>
                <w:color w:val="000000"/>
              </w:rPr>
              <w:t xml:space="preserve">Від суб’єктів малого підприємництва, які працювали за спрощеною системою оподаткування (єдиний податок), надходження до бюджету за 2015 рік майже на 57,6 </w:t>
            </w:r>
            <w:proofErr w:type="spellStart"/>
            <w:r w:rsidRPr="00D91C9A">
              <w:rPr>
                <w:color w:val="000000"/>
              </w:rPr>
              <w:t>млн.грн</w:t>
            </w:r>
            <w:proofErr w:type="spellEnd"/>
            <w:r w:rsidRPr="00D91C9A">
              <w:rPr>
                <w:color w:val="000000"/>
              </w:rPr>
              <w:t xml:space="preserve">. більше, ніж у 2014 році і вони складають 300,1 </w:t>
            </w:r>
            <w:proofErr w:type="spellStart"/>
            <w:r w:rsidRPr="00D91C9A">
              <w:rPr>
                <w:color w:val="000000"/>
              </w:rPr>
              <w:t>млн.грн</w:t>
            </w:r>
            <w:proofErr w:type="spellEnd"/>
            <w:r w:rsidRPr="00D91C9A">
              <w:rPr>
                <w:color w:val="000000"/>
              </w:rPr>
              <w:t>., або 9,7% від загальної суми надходжень до місцевих бюджетів.</w:t>
            </w:r>
          </w:p>
        </w:tc>
      </w:tr>
      <w:tr w:rsidR="00CB796B" w:rsidRPr="00D91C9A" w:rsidTr="0023057C">
        <w:trPr>
          <w:trHeight w:val="80"/>
        </w:trPr>
        <w:tc>
          <w:tcPr>
            <w:tcW w:w="10752" w:type="dxa"/>
            <w:gridSpan w:val="2"/>
            <w:tcBorders>
              <w:left w:val="nil"/>
              <w:right w:val="nil"/>
            </w:tcBorders>
          </w:tcPr>
          <w:p w:rsidR="00B553A7" w:rsidRPr="00D91C9A" w:rsidRDefault="00B553A7" w:rsidP="00CB796B">
            <w:pPr>
              <w:pStyle w:val="32"/>
              <w:spacing w:after="0"/>
              <w:ind w:firstLine="567"/>
              <w:jc w:val="center"/>
              <w:outlineLvl w:val="0"/>
              <w:rPr>
                <w:b/>
                <w:sz w:val="24"/>
                <w:szCs w:val="24"/>
              </w:rPr>
            </w:pPr>
          </w:p>
          <w:p w:rsidR="00B553A7" w:rsidRPr="00D91C9A" w:rsidRDefault="00B553A7" w:rsidP="00CB796B">
            <w:pPr>
              <w:pStyle w:val="32"/>
              <w:spacing w:after="0"/>
              <w:jc w:val="center"/>
              <w:outlineLvl w:val="0"/>
              <w:rPr>
                <w:sz w:val="24"/>
                <w:szCs w:val="24"/>
              </w:rPr>
            </w:pPr>
            <w:r w:rsidRPr="00D91C9A">
              <w:rPr>
                <w:b/>
                <w:sz w:val="24"/>
                <w:szCs w:val="24"/>
              </w:rPr>
              <w:t>ІНВЕСТИЦІЙНА ДІЯЛЬНІСТЬ ТА ГРОШОВО-КРЕДИТНИЙ РИНОК</w:t>
            </w:r>
          </w:p>
        </w:tc>
      </w:tr>
      <w:tr w:rsidR="00B553A7" w:rsidRPr="00D91C9A" w:rsidTr="00FE0937">
        <w:trPr>
          <w:trHeight w:val="274"/>
        </w:trPr>
        <w:tc>
          <w:tcPr>
            <w:tcW w:w="1702" w:type="dxa"/>
          </w:tcPr>
          <w:p w:rsidR="00B553A7" w:rsidRPr="00D91C9A" w:rsidRDefault="00B553A7" w:rsidP="00CB796B">
            <w:pPr>
              <w:snapToGrid w:val="0"/>
              <w:jc w:val="both"/>
              <w:rPr>
                <w:b/>
                <w:i/>
                <w:iCs/>
              </w:rPr>
            </w:pPr>
            <w:r w:rsidRPr="00D91C9A">
              <w:rPr>
                <w:b/>
                <w:i/>
                <w:iCs/>
              </w:rPr>
              <w:t xml:space="preserve">Розвиток </w:t>
            </w:r>
          </w:p>
          <w:p w:rsidR="00B553A7" w:rsidRPr="00D91C9A" w:rsidRDefault="00B553A7" w:rsidP="00CB796B">
            <w:pPr>
              <w:jc w:val="both"/>
              <w:rPr>
                <w:b/>
                <w:i/>
                <w:iCs/>
              </w:rPr>
            </w:pPr>
            <w:r w:rsidRPr="00D91C9A">
              <w:rPr>
                <w:b/>
                <w:i/>
                <w:iCs/>
              </w:rPr>
              <w:t xml:space="preserve">будівельної </w:t>
            </w:r>
          </w:p>
          <w:p w:rsidR="00B553A7" w:rsidRPr="00D91C9A" w:rsidRDefault="00B553A7" w:rsidP="00CB796B">
            <w:pPr>
              <w:pStyle w:val="32"/>
              <w:spacing w:after="0"/>
              <w:rPr>
                <w:b/>
                <w:i/>
                <w:iCs/>
                <w:sz w:val="24"/>
                <w:szCs w:val="24"/>
              </w:rPr>
            </w:pPr>
            <w:r w:rsidRPr="00D91C9A">
              <w:rPr>
                <w:b/>
                <w:i/>
                <w:iCs/>
                <w:sz w:val="24"/>
                <w:szCs w:val="24"/>
              </w:rPr>
              <w:t>справи</w:t>
            </w:r>
          </w:p>
        </w:tc>
        <w:tc>
          <w:tcPr>
            <w:tcW w:w="9050" w:type="dxa"/>
          </w:tcPr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 xml:space="preserve">Будівельними організаціями області за січень-лютий 2016 року виконані будівельні роботи на суму  183,0 млн. грн. </w:t>
            </w:r>
            <w:r w:rsidRPr="00D91C9A">
              <w:rPr>
                <w:i/>
                <w:sz w:val="24"/>
                <w:szCs w:val="24"/>
              </w:rPr>
              <w:t>(10 місце серед регіонів України)</w:t>
            </w:r>
            <w:r w:rsidRPr="00D91C9A">
              <w:rPr>
                <w:sz w:val="24"/>
                <w:szCs w:val="24"/>
              </w:rPr>
              <w:t xml:space="preserve">. 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D91C9A">
              <w:rPr>
                <w:sz w:val="24"/>
                <w:szCs w:val="24"/>
                <w:lang w:val="ru-RU"/>
              </w:rPr>
              <w:t xml:space="preserve">За характером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обсяги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розподілились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таким чином: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D91C9A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роботи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з нового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реконструкції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технічного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переозброєння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– 93,8 %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від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загального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обсягу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>;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D91C9A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роботи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капітального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та </w:t>
            </w:r>
            <w:proofErr w:type="gramStart"/>
            <w:r w:rsidRPr="00D91C9A">
              <w:rPr>
                <w:sz w:val="24"/>
                <w:szCs w:val="24"/>
                <w:lang w:val="ru-RU"/>
              </w:rPr>
              <w:t xml:space="preserve">поточного 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ремонтів</w:t>
            </w:r>
            <w:proofErr w:type="spellEnd"/>
            <w:proofErr w:type="gramEnd"/>
            <w:r w:rsidRPr="00D91C9A">
              <w:rPr>
                <w:sz w:val="24"/>
                <w:szCs w:val="24"/>
                <w:lang w:val="ru-RU"/>
              </w:rPr>
              <w:t xml:space="preserve"> – 2,9</w:t>
            </w:r>
            <w:r w:rsidRPr="00D91C9A">
              <w:rPr>
                <w:sz w:val="24"/>
                <w:szCs w:val="24"/>
              </w:rPr>
              <w:t xml:space="preserve"> </w:t>
            </w:r>
            <w:r w:rsidRPr="00D91C9A">
              <w:rPr>
                <w:sz w:val="24"/>
                <w:szCs w:val="24"/>
                <w:lang w:val="ru-RU"/>
              </w:rPr>
              <w:t>% та 3,3</w:t>
            </w:r>
            <w:r w:rsidRPr="00D91C9A">
              <w:rPr>
                <w:sz w:val="24"/>
                <w:szCs w:val="24"/>
              </w:rPr>
              <w:t xml:space="preserve"> </w:t>
            </w:r>
            <w:r w:rsidRPr="00D91C9A">
              <w:rPr>
                <w:sz w:val="24"/>
                <w:szCs w:val="24"/>
                <w:lang w:val="ru-RU"/>
              </w:rPr>
              <w:t xml:space="preserve">%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відповідно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>.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91C9A">
              <w:rPr>
                <w:sz w:val="24"/>
                <w:szCs w:val="24"/>
                <w:lang w:val="ru-RU"/>
              </w:rPr>
              <w:t>Обсяги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виконаних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будівельних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за видами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будівельної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91C9A">
              <w:rPr>
                <w:sz w:val="24"/>
                <w:szCs w:val="24"/>
                <w:lang w:val="ru-RU"/>
              </w:rPr>
              <w:t>продукції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 становили</w:t>
            </w:r>
            <w:proofErr w:type="gramEnd"/>
            <w:r w:rsidRPr="00D91C9A">
              <w:rPr>
                <w:sz w:val="24"/>
                <w:szCs w:val="24"/>
                <w:lang w:val="ru-RU"/>
              </w:rPr>
              <w:t xml:space="preserve"> : 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D91C9A">
              <w:rPr>
                <w:sz w:val="24"/>
                <w:szCs w:val="24"/>
                <w:lang w:val="ru-RU"/>
              </w:rPr>
              <w:t xml:space="preserve">- на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будівництві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будівель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– 100,4 млн. грн.,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54,8%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від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загального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обсягу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>;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  <w:lang w:val="ru-RU"/>
              </w:rPr>
              <w:t xml:space="preserve">- на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інженерних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спорудах</w:t>
            </w:r>
            <w:proofErr w:type="spellEnd"/>
            <w:r w:rsidRPr="00D91C9A">
              <w:rPr>
                <w:sz w:val="24"/>
                <w:szCs w:val="24"/>
                <w:lang w:val="ru-RU"/>
              </w:rPr>
              <w:t xml:space="preserve"> – 82,6 млн. грн.</w:t>
            </w:r>
            <w:proofErr w:type="gramStart"/>
            <w:r w:rsidRPr="00D91C9A">
              <w:rPr>
                <w:sz w:val="24"/>
                <w:szCs w:val="24"/>
              </w:rPr>
              <w:t>,</w:t>
            </w:r>
            <w:r w:rsidRPr="00D91C9A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D91C9A">
              <w:rPr>
                <w:sz w:val="24"/>
                <w:szCs w:val="24"/>
                <w:lang w:val="ru-RU"/>
              </w:rPr>
              <w:t>або</w:t>
            </w:r>
            <w:proofErr w:type="spellEnd"/>
            <w:proofErr w:type="gramEnd"/>
            <w:r w:rsidRPr="00D91C9A">
              <w:rPr>
                <w:sz w:val="24"/>
                <w:szCs w:val="24"/>
                <w:lang w:val="ru-RU"/>
              </w:rPr>
              <w:t xml:space="preserve">  45,2 %.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>За даними Головного управління статистики</w:t>
            </w:r>
            <w:r w:rsidRPr="00D91C9A">
              <w:rPr>
                <w:bCs/>
                <w:iCs/>
                <w:sz w:val="24"/>
                <w:szCs w:val="24"/>
              </w:rPr>
              <w:t xml:space="preserve"> у Вінницькій області </w:t>
            </w:r>
            <w:r w:rsidRPr="00D91C9A">
              <w:rPr>
                <w:sz w:val="24"/>
                <w:szCs w:val="24"/>
              </w:rPr>
              <w:t xml:space="preserve">індекс будівельної продукції за січень-лютий 2016 року становив  143,3 % </w:t>
            </w:r>
            <w:r w:rsidRPr="00D91C9A">
              <w:rPr>
                <w:i/>
                <w:sz w:val="24"/>
                <w:szCs w:val="24"/>
              </w:rPr>
              <w:t>(3 місце серед регіонів України)</w:t>
            </w:r>
            <w:r w:rsidRPr="00D91C9A">
              <w:rPr>
                <w:sz w:val="24"/>
                <w:szCs w:val="24"/>
              </w:rPr>
              <w:t>.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>За січень-грудень 2015 року підприємствами та організаціями області за рахунок усіх джерел фінансування освоєно 6989,9 млн. грн. капітальних інвестицій (10 місце серед регіонів України).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>У порівнянних цінах на 2,5 % більше від обсягу капітальних інвестицій за відповідний період попереднього року (17 місце серед регіонів України).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>Найвагомішу частку  капітальних інвестицій (99,5 % загального обсягу) освоєно в матеріальні активи, з яких:</w:t>
            </w:r>
          </w:p>
          <w:p w:rsidR="00C20562" w:rsidRPr="00D91C9A" w:rsidRDefault="00C20562" w:rsidP="00C20562">
            <w:pPr>
              <w:pStyle w:val="33"/>
              <w:numPr>
                <w:ilvl w:val="0"/>
                <w:numId w:val="41"/>
              </w:numPr>
              <w:tabs>
                <w:tab w:val="left" w:pos="1026"/>
              </w:tabs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>у будівлі та споруди –  44,2 % усіх інвестицій;</w:t>
            </w:r>
          </w:p>
          <w:p w:rsidR="00C20562" w:rsidRPr="00D91C9A" w:rsidRDefault="00C20562" w:rsidP="00C20562">
            <w:pPr>
              <w:pStyle w:val="33"/>
              <w:numPr>
                <w:ilvl w:val="0"/>
                <w:numId w:val="41"/>
              </w:numPr>
              <w:tabs>
                <w:tab w:val="left" w:pos="1026"/>
              </w:tabs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>у машини, обладнання та інвентар і транспортні засоби – 51,4 %.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 xml:space="preserve">Головним джерелом інвестування залишаються власні кошти підприємств та організацій, за рахунок яких освоєно 65,6 % загального обсягу капітальних інвестицій. 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 xml:space="preserve">Частка запозичених коштів, за рахунок кредитів банків та інших позик, становила 6,6 %. 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>Кошти населення на будівництво житла складають 17,1 % капітальних інвестицій.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>Кошти державного  бюджету – 2,3%,  місцевих бюджетів – 7,2%, інші джерела фінансування – 1,2 %.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>Капітальні інвестиції у житлове будівництво становили 1274,3 млн. грн.    (18,2 % від загального обсягу), що на 28,8 % більше, ніж у січні-грудні 2014 року.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 xml:space="preserve">За  2015 рік прийнято в експлуатацію  391,4 тис. </w:t>
            </w:r>
            <w:proofErr w:type="spellStart"/>
            <w:r w:rsidRPr="00D91C9A">
              <w:rPr>
                <w:sz w:val="24"/>
                <w:szCs w:val="24"/>
              </w:rPr>
              <w:t>кв</w:t>
            </w:r>
            <w:proofErr w:type="spellEnd"/>
            <w:r w:rsidRPr="00D91C9A">
              <w:rPr>
                <w:sz w:val="24"/>
                <w:szCs w:val="24"/>
              </w:rPr>
              <w:t xml:space="preserve">. м загальної площі житла (9 місце серед регіонів України), у тому числі: </w:t>
            </w:r>
          </w:p>
          <w:p w:rsidR="00C20562" w:rsidRPr="00D91C9A" w:rsidRDefault="00C20562" w:rsidP="00C20562">
            <w:pPr>
              <w:pStyle w:val="33"/>
              <w:numPr>
                <w:ilvl w:val="0"/>
                <w:numId w:val="45"/>
              </w:numPr>
              <w:tabs>
                <w:tab w:val="left" w:pos="1026"/>
              </w:tabs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 xml:space="preserve">у містах – 251,6 тис. </w:t>
            </w:r>
            <w:proofErr w:type="spellStart"/>
            <w:r w:rsidRPr="00D91C9A">
              <w:rPr>
                <w:sz w:val="24"/>
                <w:szCs w:val="24"/>
              </w:rPr>
              <w:t>кв</w:t>
            </w:r>
            <w:proofErr w:type="spellEnd"/>
            <w:r w:rsidRPr="00D91C9A">
              <w:rPr>
                <w:sz w:val="24"/>
                <w:szCs w:val="24"/>
              </w:rPr>
              <w:t>. м загальної площі (64,3 %);</w:t>
            </w:r>
          </w:p>
          <w:p w:rsidR="00C20562" w:rsidRPr="00D91C9A" w:rsidRDefault="00C20562" w:rsidP="00C20562">
            <w:pPr>
              <w:pStyle w:val="33"/>
              <w:numPr>
                <w:ilvl w:val="0"/>
                <w:numId w:val="45"/>
              </w:numPr>
              <w:tabs>
                <w:tab w:val="left" w:pos="1026"/>
              </w:tabs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 xml:space="preserve">у сільській місцевості – 139,8 тис. </w:t>
            </w:r>
            <w:proofErr w:type="spellStart"/>
            <w:r w:rsidRPr="00D91C9A">
              <w:rPr>
                <w:sz w:val="24"/>
                <w:szCs w:val="24"/>
              </w:rPr>
              <w:t>кв</w:t>
            </w:r>
            <w:proofErr w:type="spellEnd"/>
            <w:r w:rsidRPr="00D91C9A">
              <w:rPr>
                <w:sz w:val="24"/>
                <w:szCs w:val="24"/>
              </w:rPr>
              <w:t xml:space="preserve">. м (35,7 %). 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t>Обсяги прийнятого в експлуатацію житла збільшилися порівняно з відповідним періодом  2014 року на 36,1 % ( за обсягами - 9 місце серед регіонів України).</w:t>
            </w:r>
          </w:p>
          <w:p w:rsidR="00C20562" w:rsidRPr="00D91C9A" w:rsidRDefault="00C20562" w:rsidP="00C2056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91C9A">
              <w:rPr>
                <w:sz w:val="24"/>
                <w:szCs w:val="24"/>
              </w:rPr>
              <w:lastRenderedPageBreak/>
              <w:t xml:space="preserve">Найбільше житла збудовано у </w:t>
            </w:r>
            <w:proofErr w:type="spellStart"/>
            <w:r w:rsidRPr="00D91C9A">
              <w:rPr>
                <w:sz w:val="24"/>
                <w:szCs w:val="24"/>
              </w:rPr>
              <w:t>м.Вінниці</w:t>
            </w:r>
            <w:proofErr w:type="spellEnd"/>
            <w:r w:rsidRPr="00D91C9A">
              <w:rPr>
                <w:sz w:val="24"/>
                <w:szCs w:val="24"/>
              </w:rPr>
              <w:t xml:space="preserve"> (38,9%). Ще у 6 регіонах (</w:t>
            </w:r>
            <w:proofErr w:type="spellStart"/>
            <w:r w:rsidRPr="00D91C9A">
              <w:rPr>
                <w:sz w:val="24"/>
                <w:szCs w:val="24"/>
              </w:rPr>
              <w:t>м.Хмільнику</w:t>
            </w:r>
            <w:proofErr w:type="spellEnd"/>
            <w:r w:rsidRPr="00D91C9A">
              <w:rPr>
                <w:sz w:val="24"/>
                <w:szCs w:val="24"/>
              </w:rPr>
              <w:t xml:space="preserve">, Вінницькому, Гайсинському, Тиврівському, </w:t>
            </w:r>
            <w:proofErr w:type="spellStart"/>
            <w:r w:rsidRPr="00D91C9A">
              <w:rPr>
                <w:sz w:val="24"/>
                <w:szCs w:val="24"/>
              </w:rPr>
              <w:t>Калинівському</w:t>
            </w:r>
            <w:proofErr w:type="spellEnd"/>
            <w:r w:rsidRPr="00D91C9A">
              <w:rPr>
                <w:sz w:val="24"/>
                <w:szCs w:val="24"/>
              </w:rPr>
              <w:t xml:space="preserve"> та Бершадському районах) прийнято в експлуатацію 38,9% загального обсягу житла.</w:t>
            </w:r>
          </w:p>
          <w:p w:rsidR="00723ACF" w:rsidRPr="00D91C9A" w:rsidRDefault="00C20562" w:rsidP="00C20562">
            <w:pPr>
              <w:suppressAutoHyphens/>
              <w:ind w:firstLine="709"/>
              <w:jc w:val="both"/>
              <w:rPr>
                <w:lang w:val="ru-RU"/>
              </w:rPr>
            </w:pPr>
            <w:r w:rsidRPr="00D91C9A">
              <w:t>За рахунок коштів державного бюджету житлові будинки в експлуатацію не приймались.</w:t>
            </w:r>
          </w:p>
        </w:tc>
      </w:tr>
      <w:tr w:rsidR="00990799" w:rsidRPr="00D91C9A" w:rsidTr="00FE0937">
        <w:trPr>
          <w:trHeight w:val="284"/>
        </w:trPr>
        <w:tc>
          <w:tcPr>
            <w:tcW w:w="1702" w:type="dxa"/>
          </w:tcPr>
          <w:p w:rsidR="00990799" w:rsidRPr="00D91C9A" w:rsidRDefault="00990799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D91C9A">
              <w:rPr>
                <w:b/>
                <w:i/>
                <w:sz w:val="24"/>
                <w:szCs w:val="24"/>
              </w:rPr>
              <w:lastRenderedPageBreak/>
              <w:t>Іноземне</w:t>
            </w:r>
          </w:p>
          <w:p w:rsidR="00990799" w:rsidRPr="00D91C9A" w:rsidRDefault="00990799" w:rsidP="00CB796B">
            <w:pPr>
              <w:jc w:val="both"/>
              <w:rPr>
                <w:b/>
                <w:i/>
                <w:iCs/>
              </w:rPr>
            </w:pPr>
            <w:r w:rsidRPr="00D91C9A">
              <w:rPr>
                <w:b/>
                <w:i/>
              </w:rPr>
              <w:t>інвестуван</w:t>
            </w:r>
            <w:r w:rsidRPr="00D91C9A">
              <w:rPr>
                <w:b/>
                <w:i/>
                <w:iCs/>
              </w:rPr>
              <w:t>ня</w:t>
            </w:r>
          </w:p>
        </w:tc>
        <w:tc>
          <w:tcPr>
            <w:tcW w:w="9050" w:type="dxa"/>
          </w:tcPr>
          <w:p w:rsidR="004877A9" w:rsidRPr="00D91C9A" w:rsidRDefault="004877A9" w:rsidP="004877A9">
            <w:pPr>
              <w:suppressAutoHyphens/>
              <w:ind w:firstLine="709"/>
              <w:contextualSpacing/>
              <w:jc w:val="both"/>
            </w:pPr>
            <w:r w:rsidRPr="00D91C9A">
              <w:t xml:space="preserve">Обсяг залучених з початку інвестування прямих іноземних інвестицій (акціонерного капіталу) в економіку області на 31 грудня 2015р. становив 187,1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США.  </w:t>
            </w:r>
          </w:p>
          <w:p w:rsidR="004877A9" w:rsidRPr="00D91C9A" w:rsidRDefault="004877A9" w:rsidP="004877A9">
            <w:pPr>
              <w:suppressAutoHyphens/>
              <w:ind w:firstLine="709"/>
              <w:contextualSpacing/>
              <w:jc w:val="both"/>
            </w:pPr>
            <w:r w:rsidRPr="00D91C9A">
              <w:t xml:space="preserve">Переважна більшість інвестицій (78,1% загального обсягу акціонерного капіталу) надійшла з країн ЄС – 146,2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., з інших країн світу – 40,9 </w:t>
            </w:r>
            <w:proofErr w:type="spellStart"/>
            <w:r w:rsidRPr="00D91C9A">
              <w:t>млн.дол</w:t>
            </w:r>
            <w:proofErr w:type="spellEnd"/>
            <w:r w:rsidRPr="00D91C9A">
              <w:t>. (21,9%).</w:t>
            </w:r>
          </w:p>
          <w:p w:rsidR="004877A9" w:rsidRPr="00D91C9A" w:rsidRDefault="004877A9" w:rsidP="004877A9">
            <w:pPr>
              <w:suppressAutoHyphens/>
              <w:ind w:firstLine="709"/>
              <w:contextualSpacing/>
              <w:jc w:val="both"/>
            </w:pPr>
            <w:r w:rsidRPr="00D91C9A">
              <w:t xml:space="preserve">У 2015р. в економіку області іноземними інвесторами вкладено 5,3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США та вилучено 1,2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прямих інвестицій (акціонерного капіталу). Зменшення вартості акціонерного капіталу за рахунок переоцінки, утрат та </w:t>
            </w:r>
            <w:proofErr w:type="spellStart"/>
            <w:r w:rsidRPr="00D91C9A">
              <w:t>перекласифікації</w:t>
            </w:r>
            <w:proofErr w:type="spellEnd"/>
            <w:r w:rsidRPr="00D91C9A">
              <w:t xml:space="preserve"> становило 40,1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., у тому числі за рахунок  курсової різниці – 39,2 </w:t>
            </w:r>
            <w:proofErr w:type="spellStart"/>
            <w:r w:rsidRPr="00D91C9A">
              <w:t>млн.дол</w:t>
            </w:r>
            <w:proofErr w:type="spellEnd"/>
            <w:r w:rsidRPr="00D91C9A">
              <w:t>.</w:t>
            </w:r>
          </w:p>
          <w:p w:rsidR="004877A9" w:rsidRPr="00D91C9A" w:rsidRDefault="004877A9" w:rsidP="004877A9">
            <w:pPr>
              <w:suppressAutoHyphens/>
              <w:ind w:firstLine="709"/>
              <w:contextualSpacing/>
              <w:jc w:val="both"/>
            </w:pPr>
            <w:r w:rsidRPr="00D91C9A">
              <w:t xml:space="preserve">До п’ятірки основних країн-інвесторів, на які припадає 68,0% загального обсягу прямих інвестицій, входять: Кіпр – 39,5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., Австрія – 32,3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., Франція – 27,3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., Німеччина – 15,4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., Польща – 12,6 </w:t>
            </w:r>
            <w:proofErr w:type="spellStart"/>
            <w:r w:rsidRPr="00D91C9A">
              <w:t>млн.дол</w:t>
            </w:r>
            <w:proofErr w:type="spellEnd"/>
            <w:r w:rsidRPr="00D91C9A">
              <w:t>.</w:t>
            </w:r>
          </w:p>
          <w:p w:rsidR="004877A9" w:rsidRPr="00D91C9A" w:rsidRDefault="004877A9" w:rsidP="004877A9">
            <w:pPr>
              <w:suppressAutoHyphens/>
              <w:ind w:firstLine="709"/>
              <w:contextualSpacing/>
              <w:jc w:val="both"/>
            </w:pPr>
            <w:r w:rsidRPr="00D91C9A">
              <w:t xml:space="preserve">На підприємствах промисловості зосереджено 125,2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(66,9%) загального обсягу прямих інвестицій в область, у </w:t>
            </w:r>
            <w:proofErr w:type="spellStart"/>
            <w:r w:rsidRPr="00D91C9A">
              <w:t>т.ч</w:t>
            </w:r>
            <w:proofErr w:type="spellEnd"/>
            <w:r w:rsidRPr="00D91C9A">
              <w:t xml:space="preserve">. переробної – 107,5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та добувної промисловості і розроблення кар’єрів – 17,1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Серед галузей переробної промисловості у виробництво харчових продуктів, напоїв і тютюнових виробів </w:t>
            </w:r>
            <w:proofErr w:type="spellStart"/>
            <w:r w:rsidRPr="00D91C9A">
              <w:t>унесено</w:t>
            </w:r>
            <w:proofErr w:type="spellEnd"/>
            <w:r w:rsidRPr="00D91C9A">
              <w:t xml:space="preserve"> 55,5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прямих інвестицій, виготовлення виробів з деревини, виробництво паперу та поліграфічну діяльність – 25,7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., виробництво хімічних речовин і хімічної продукції – 15,1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</w:t>
            </w:r>
          </w:p>
          <w:p w:rsidR="004877A9" w:rsidRPr="00D91C9A" w:rsidRDefault="004877A9" w:rsidP="004877A9">
            <w:pPr>
              <w:suppressAutoHyphens/>
              <w:ind w:firstLine="709"/>
              <w:contextualSpacing/>
              <w:jc w:val="both"/>
            </w:pPr>
            <w:r w:rsidRPr="00D91C9A">
              <w:t xml:space="preserve">На підприємствах сільського, лісового та рибного  господарства  акумульовано 24,5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(13,1% загального обсягу) прямих інвестицій, в організаціях, що діють у сфері адміністративного та допоміжного обслуговування – 14,3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(7,6%), на підприємствах, що здійснюють операції з нерухомим майном – 7,4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(4,0%), оптової та роздрібної торгівлі; ремонту автотранспортних засобів і мотоциклів –7,0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(3,7%).  </w:t>
            </w:r>
          </w:p>
          <w:p w:rsidR="004877A9" w:rsidRPr="00D91C9A" w:rsidRDefault="004877A9" w:rsidP="004877A9">
            <w:pPr>
              <w:suppressAutoHyphens/>
              <w:ind w:firstLine="709"/>
              <w:contextualSpacing/>
              <w:jc w:val="both"/>
            </w:pPr>
            <w:r w:rsidRPr="00D91C9A">
              <w:t xml:space="preserve">Вагому частку (45,0%) іноземного капіталу зосереджено у </w:t>
            </w:r>
            <w:proofErr w:type="spellStart"/>
            <w:r w:rsidRPr="00D91C9A">
              <w:t>м.Вінниці</w:t>
            </w:r>
            <w:proofErr w:type="spellEnd"/>
            <w:r w:rsidRPr="00D91C9A">
              <w:t xml:space="preserve"> – 84,1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Також, значні обсяги іноземних інвестицій зосереджено у Козятинському районі – 20,6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(11,0%), </w:t>
            </w:r>
            <w:proofErr w:type="spellStart"/>
            <w:r w:rsidRPr="00D91C9A">
              <w:t>Немирівському</w:t>
            </w:r>
            <w:proofErr w:type="spellEnd"/>
            <w:r w:rsidRPr="00D91C9A">
              <w:t xml:space="preserve"> – 14,4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(7,7%) та Барському – 8,7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(4,6%). Серед інших регіонів області провідні місця за обсягами іноземних інвестицій утримують: </w:t>
            </w:r>
            <w:proofErr w:type="spellStart"/>
            <w:r w:rsidRPr="00D91C9A">
              <w:t>м.Ладижин</w:t>
            </w:r>
            <w:proofErr w:type="spellEnd"/>
            <w:r w:rsidRPr="00D91C9A">
              <w:t xml:space="preserve">, </w:t>
            </w:r>
            <w:proofErr w:type="spellStart"/>
            <w:r w:rsidRPr="00D91C9A">
              <w:t>м.Козятин</w:t>
            </w:r>
            <w:proofErr w:type="spellEnd"/>
            <w:r w:rsidRPr="00D91C9A">
              <w:t xml:space="preserve"> та Тульчинський, </w:t>
            </w:r>
            <w:proofErr w:type="spellStart"/>
            <w:r w:rsidRPr="00D91C9A">
              <w:t>Липовецький</w:t>
            </w:r>
            <w:proofErr w:type="spellEnd"/>
            <w:r w:rsidRPr="00D91C9A">
              <w:t xml:space="preserve">, </w:t>
            </w:r>
            <w:proofErr w:type="spellStart"/>
            <w:r w:rsidRPr="00D91C9A">
              <w:t>Тиврівський</w:t>
            </w:r>
            <w:proofErr w:type="spellEnd"/>
            <w:r w:rsidRPr="00D91C9A">
              <w:t>, Вінницький райони.</w:t>
            </w:r>
          </w:p>
          <w:p w:rsidR="004877A9" w:rsidRPr="00D91C9A" w:rsidRDefault="004877A9" w:rsidP="004877A9">
            <w:pPr>
              <w:suppressAutoHyphens/>
              <w:ind w:firstLine="709"/>
              <w:contextualSpacing/>
              <w:jc w:val="both"/>
            </w:pPr>
            <w:r w:rsidRPr="00D91C9A">
              <w:t xml:space="preserve">Заборгованість підприємств області за кредитами та позиками, торговими кредитами та іншими зобов’язаннями (борговими інструментами) перед прямими іноземними інвесторами на 31 грудня 2015р. становила 47,2 </w:t>
            </w:r>
            <w:proofErr w:type="spellStart"/>
            <w:r w:rsidRPr="00D91C9A">
              <w:t>млн.дол</w:t>
            </w:r>
            <w:proofErr w:type="spellEnd"/>
            <w:r w:rsidRPr="00D91C9A">
              <w:t xml:space="preserve">. </w:t>
            </w:r>
          </w:p>
          <w:p w:rsidR="004877A9" w:rsidRPr="00D91C9A" w:rsidRDefault="004877A9" w:rsidP="004877A9">
            <w:pPr>
              <w:suppressAutoHyphens/>
              <w:ind w:firstLine="709"/>
              <w:contextualSpacing/>
              <w:jc w:val="both"/>
            </w:pPr>
            <w:r w:rsidRPr="00D91C9A">
              <w:t xml:space="preserve">Обсяг прямих інвестицій (акціонерного капіталу) з області в економіку країн світу на 31 грудня 2015р. становив 94,1 </w:t>
            </w:r>
            <w:proofErr w:type="spellStart"/>
            <w:r w:rsidRPr="00D91C9A">
              <w:t>тис.дол</w:t>
            </w:r>
            <w:proofErr w:type="spellEnd"/>
            <w:r w:rsidRPr="00D91C9A">
              <w:t xml:space="preserve">. </w:t>
            </w:r>
          </w:p>
          <w:p w:rsidR="00E97521" w:rsidRPr="00D91C9A" w:rsidRDefault="00E97521" w:rsidP="00CB6667">
            <w:pPr>
              <w:tabs>
                <w:tab w:val="left" w:pos="9639"/>
              </w:tabs>
              <w:suppressAutoHyphens/>
              <w:ind w:firstLine="709"/>
              <w:jc w:val="both"/>
              <w:rPr>
                <w:lang w:eastAsia="ru-RU"/>
              </w:rPr>
            </w:pPr>
          </w:p>
        </w:tc>
      </w:tr>
      <w:tr w:rsidR="00921422" w:rsidRPr="00D91C9A" w:rsidTr="009B32B8">
        <w:trPr>
          <w:trHeight w:val="2692"/>
        </w:trPr>
        <w:tc>
          <w:tcPr>
            <w:tcW w:w="1702" w:type="dxa"/>
            <w:shd w:val="clear" w:color="auto" w:fill="FFFFFF" w:themeFill="background1"/>
          </w:tcPr>
          <w:p w:rsidR="00921422" w:rsidRPr="00D91C9A" w:rsidRDefault="00921422" w:rsidP="00CB796B">
            <w:pPr>
              <w:pStyle w:val="afb"/>
              <w:snapToGrid w:val="0"/>
              <w:jc w:val="left"/>
              <w:rPr>
                <w:i/>
                <w:iCs/>
              </w:rPr>
            </w:pPr>
            <w:r w:rsidRPr="00D91C9A">
              <w:rPr>
                <w:i/>
              </w:rPr>
              <w:t>Готівковий обіг</w:t>
            </w:r>
          </w:p>
        </w:tc>
        <w:tc>
          <w:tcPr>
            <w:tcW w:w="9050" w:type="dxa"/>
            <w:shd w:val="clear" w:color="auto" w:fill="FFFFFF" w:themeFill="background1"/>
          </w:tcPr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>Стан готівкового обігу за січень</w:t>
            </w:r>
            <w:r w:rsidRPr="00D91C9A">
              <w:rPr>
                <w:lang w:val="ru-RU"/>
              </w:rPr>
              <w:t>-</w:t>
            </w:r>
            <w:r w:rsidRPr="00D91C9A">
              <w:t>лютий 2016 року в порівнянні з аналогічним періодом минулого року в цілому по області характеризувався ростом як надходжень готівки до кас банківських  установ так і видач із них.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Відповідно до даних Представництва Національного банку України у Вінницькій області обсяги надходжень готівки до кас банків за січень-лютий 2016 року склали 6,55 </w:t>
            </w:r>
            <w:proofErr w:type="spellStart"/>
            <w:r w:rsidRPr="00D91C9A">
              <w:t>млрд.грн</w:t>
            </w:r>
            <w:proofErr w:type="spellEnd"/>
            <w:r w:rsidRPr="00D91C9A">
              <w:t xml:space="preserve">., що на 607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або на 10,0% перевищує показники січня-лютого 2015 року. 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В розрізі статей, надходження готівки склали: торговельна виручка 2,48 </w:t>
            </w:r>
            <w:proofErr w:type="spellStart"/>
            <w:r w:rsidRPr="00D91C9A">
              <w:t>млрд.грн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 xml:space="preserve">(на 59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або на 2% більше, ніж у відповідному періоді 2015 року);</w:t>
            </w:r>
            <w:r w:rsidRPr="00D91C9A">
              <w:t xml:space="preserve"> на рахунки за вкладами фізичних осіб – 630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 xml:space="preserve">(відповідно на 141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або на 29,0% більше);</w:t>
            </w:r>
            <w:r w:rsidRPr="00D91C9A">
              <w:t xml:space="preserve"> від продажу іноземної валюти – 39 </w:t>
            </w:r>
            <w:proofErr w:type="spellStart"/>
            <w:r w:rsidRPr="00D91C9A">
              <w:t>млн.грн</w:t>
            </w:r>
            <w:proofErr w:type="spellEnd"/>
            <w:r w:rsidRPr="00D91C9A">
              <w:t>. (</w:t>
            </w:r>
            <w:r w:rsidRPr="00D91C9A">
              <w:rPr>
                <w:i/>
              </w:rPr>
              <w:t xml:space="preserve">на 29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 xml:space="preserve">., або на 43% </w:t>
            </w:r>
            <w:r w:rsidRPr="00D91C9A">
              <w:rPr>
                <w:i/>
              </w:rPr>
              <w:lastRenderedPageBreak/>
              <w:t>менше);</w:t>
            </w:r>
            <w:r w:rsidRPr="00D91C9A">
              <w:t xml:space="preserve"> від усіх видів платних послуг – 575 </w:t>
            </w:r>
            <w:proofErr w:type="spellStart"/>
            <w:r w:rsidRPr="00D91C9A">
              <w:t>млн.грн</w:t>
            </w:r>
            <w:proofErr w:type="spellEnd"/>
            <w:r w:rsidRPr="00D91C9A">
              <w:t>. (</w:t>
            </w:r>
            <w:r w:rsidRPr="00D91C9A">
              <w:rPr>
                <w:i/>
              </w:rPr>
              <w:t xml:space="preserve">відповідно на 106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або на 23% більше</w:t>
            </w:r>
            <w:r w:rsidRPr="00D91C9A">
              <w:t>) тощо.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Основним джерелом надходження готівки до кас банківських установ залишалась торговельна мережа, через яку вилучалося 38% усієї готівки, що на 3 </w:t>
            </w:r>
            <w:proofErr w:type="spellStart"/>
            <w:r w:rsidRPr="00D91C9A">
              <w:t>в.п</w:t>
            </w:r>
            <w:proofErr w:type="spellEnd"/>
            <w:r w:rsidRPr="00D91C9A">
              <w:t xml:space="preserve">. менше ніж у відповідному періоді минулого року. 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Загальні обсяги готівки яка була видана з кас банків області у січні-лютому 2016 року, склали 6,08 </w:t>
            </w:r>
            <w:proofErr w:type="spellStart"/>
            <w:r w:rsidRPr="00D91C9A">
              <w:t>млрд.грн</w:t>
            </w:r>
            <w:proofErr w:type="spellEnd"/>
            <w:r w:rsidRPr="00D91C9A">
              <w:t xml:space="preserve">. і в порівнянні з відповідним періодом 2015 року збільшились на 388 </w:t>
            </w:r>
            <w:proofErr w:type="spellStart"/>
            <w:r w:rsidRPr="00D91C9A">
              <w:t>млн.грн</w:t>
            </w:r>
            <w:proofErr w:type="spellEnd"/>
            <w:r w:rsidRPr="00D91C9A">
              <w:t>. або на 7%.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>В тому числі в розрізі статей обсяги видачі готівки склали: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- з використанням платіжних карток 4,02 </w:t>
            </w:r>
            <w:proofErr w:type="spellStart"/>
            <w:r w:rsidRPr="00D91C9A">
              <w:t>млрд.грн</w:t>
            </w:r>
            <w:proofErr w:type="spellEnd"/>
            <w:r w:rsidRPr="00D91C9A">
              <w:t xml:space="preserve">. і зросли до січня-лютого 2015 року на 16%, або на 549 </w:t>
            </w:r>
            <w:proofErr w:type="spellStart"/>
            <w:r w:rsidRPr="00D91C9A">
              <w:t>млн.грн</w:t>
            </w:r>
            <w:proofErr w:type="spellEnd"/>
            <w:r w:rsidRPr="00D91C9A">
              <w:t>.;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- з рахунків за вкладами фізичних осіб – 441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 xml:space="preserve">(на 237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або на 35% менше),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  <w:rPr>
                <w:i/>
              </w:rPr>
            </w:pPr>
            <w:r w:rsidRPr="00D91C9A">
              <w:t xml:space="preserve">- підкріплення підприємств поштового зв’язку на виплату пенсій – 704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 xml:space="preserve">(на 10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або на 1% менше),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  <w:rPr>
                <w:i/>
              </w:rPr>
            </w:pPr>
            <w:r w:rsidRPr="00D91C9A">
              <w:t xml:space="preserve">- на придбання іноземної валюти – 203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 xml:space="preserve">(на 79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або в 1,6 рази більше)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  <w:rPr>
                <w:i/>
              </w:rPr>
            </w:pPr>
            <w:r w:rsidRPr="00D91C9A">
              <w:t xml:space="preserve">- на виплати, пов’язані з оплатою праці – 188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 xml:space="preserve">(на 22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або на 13% більше),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  <w:rPr>
                <w:i/>
              </w:rPr>
            </w:pPr>
            <w:r w:rsidRPr="00D91C9A">
              <w:t xml:space="preserve">- на купівлю товарів, оплату послуг і за виконані роботи – 214 </w:t>
            </w:r>
            <w:proofErr w:type="spellStart"/>
            <w:r w:rsidRPr="00D91C9A">
              <w:t>млн.грн</w:t>
            </w:r>
            <w:proofErr w:type="spellEnd"/>
            <w:r w:rsidRPr="00D91C9A">
              <w:t>. (</w:t>
            </w:r>
            <w:r w:rsidRPr="00D91C9A">
              <w:rPr>
                <w:i/>
              </w:rPr>
              <w:t xml:space="preserve">на 7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або на 3% менше),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- на видачу кредитів готівкою – 5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 xml:space="preserve">(на 2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або у 1,7 рази більше)</w:t>
            </w:r>
            <w:r w:rsidRPr="00D91C9A">
              <w:t xml:space="preserve"> тощо.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Водночас, безготівкові перерахування пенсій і допомог на поточні рахунки фізичних осіб в січні-лютому 2016 року  в порівнянні з відповідним періодом попереднього року зменшились на 256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або на 30,0% і склали 590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>(зменшення відбулось у зв’язку з достроковою виплатою Пенсійним фондом України у грудні 2015 року пенсій січня 2016 року).</w:t>
            </w:r>
            <w:r w:rsidRPr="00D91C9A">
              <w:t xml:space="preserve"> Безготівкові зарахування заробітної плати та інших видів оплати праці збільшились на 111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або 9%  і склали 1,32 </w:t>
            </w:r>
            <w:proofErr w:type="spellStart"/>
            <w:r w:rsidRPr="00D91C9A">
              <w:t>млрд.грн</w:t>
            </w:r>
            <w:proofErr w:type="spellEnd"/>
            <w:r w:rsidRPr="00D91C9A">
              <w:t>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Безготівкові розрахунки із використанням платіжних карток склали 514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що на 113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або на 28,0% більше в порівнянні з аналогічним періодом минулого року. Безготівкові  розрахунки фізичних осіб за товари, послуги та інші перерахування збільшились на 150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або у 1,6 рази і склали 403 </w:t>
            </w:r>
            <w:proofErr w:type="spellStart"/>
            <w:r w:rsidRPr="00D91C9A">
              <w:t>млн.грн</w:t>
            </w:r>
            <w:proofErr w:type="spellEnd"/>
            <w:r w:rsidRPr="00D91C9A">
              <w:t>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За січень-лютий 2016 року обсяги надходжень готівки до кас банківських установ перевищували обсяги її видатків з кас банківських установ, що призвело до вилучення готівки з обігу в сумі 472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В порівнянні з аналогічним періодом минулого року вилучення готівки з обігу збільшилось на 219 </w:t>
            </w:r>
            <w:proofErr w:type="spellStart"/>
            <w:r w:rsidRPr="00D91C9A">
              <w:t>млн.грн</w:t>
            </w:r>
            <w:proofErr w:type="spellEnd"/>
            <w:r w:rsidRPr="00D91C9A">
              <w:t>. або на 86%.</w:t>
            </w:r>
          </w:p>
          <w:p w:rsidR="00921422" w:rsidRPr="00D91C9A" w:rsidRDefault="00921422" w:rsidP="008504D6">
            <w:pPr>
              <w:tabs>
                <w:tab w:val="left" w:pos="742"/>
              </w:tabs>
              <w:suppressAutoHyphens/>
              <w:ind w:firstLine="709"/>
              <w:jc w:val="both"/>
            </w:pPr>
          </w:p>
        </w:tc>
      </w:tr>
    </w:tbl>
    <w:p w:rsidR="007733F6" w:rsidRPr="00D91C9A" w:rsidRDefault="007733F6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491A6D" w:rsidRPr="00D91C9A" w:rsidRDefault="00491A6D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491A6D" w:rsidRPr="00D91C9A" w:rsidRDefault="00491A6D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491A6D" w:rsidRPr="00D91C9A" w:rsidRDefault="00491A6D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680542" w:rsidRPr="00D91C9A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  <w:r w:rsidRPr="00D91C9A">
        <w:rPr>
          <w:b/>
          <w:sz w:val="24"/>
          <w:szCs w:val="24"/>
        </w:rPr>
        <w:t>ПОДАТКОВІ НАДХОДЖЕННЯ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8930"/>
      </w:tblGrid>
      <w:tr w:rsidR="00A156B8" w:rsidRPr="00D91C9A" w:rsidTr="00251ED5">
        <w:trPr>
          <w:trHeight w:val="424"/>
        </w:trPr>
        <w:tc>
          <w:tcPr>
            <w:tcW w:w="1702" w:type="dxa"/>
            <w:shd w:val="clear" w:color="auto" w:fill="auto"/>
          </w:tcPr>
          <w:p w:rsidR="00A156B8" w:rsidRPr="00D91C9A" w:rsidRDefault="00A156B8" w:rsidP="00CB796B">
            <w:pPr>
              <w:pStyle w:val="af4"/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D91C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Виконання показників Зведеного та Державного бюджетів</w:t>
            </w:r>
          </w:p>
        </w:tc>
        <w:tc>
          <w:tcPr>
            <w:tcW w:w="8930" w:type="dxa"/>
            <w:shd w:val="clear" w:color="auto" w:fill="auto"/>
          </w:tcPr>
          <w:p w:rsidR="00491A6D" w:rsidRPr="00D91C9A" w:rsidRDefault="00491A6D" w:rsidP="00491A6D">
            <w:pPr>
              <w:suppressAutoHyphens/>
              <w:snapToGrid w:val="0"/>
              <w:ind w:firstLine="709"/>
              <w:jc w:val="both"/>
            </w:pPr>
            <w:r w:rsidRPr="00D91C9A">
              <w:t xml:space="preserve">Відповідно до даних  Головного управління державної казначейської служби України у Вінницькій області, надходження до Зведеного бюджету області, з врахуванням платежів, які адмініструє Головне управління Державної фіскальної служби у Вінницькій області, Вінницька митниця ДФС та надходжень інших міністерств і відомств, зросла за січень-лютий 2016 року в порівнянні з січнем-лютим 2015 року на 3,5,%, або на 35,4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і становлять 1039,1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В тому числі надходження до Державного бюджету склали 375,9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їх обсяг скоротився  на 34,3%, або на 196,4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>В тому числі, відповідно до даних Головного управління ДФС у Вінницькій області Протягом січня-лютого 2016 року підрозділами Головного управління ДФС у області до бюджетів усіх рівнів зібрано 923,9 </w:t>
            </w:r>
            <w:proofErr w:type="spellStart"/>
            <w:r w:rsidRPr="00D91C9A">
              <w:t>млн.грн</w:t>
            </w:r>
            <w:proofErr w:type="spellEnd"/>
            <w:r w:rsidRPr="00D91C9A">
              <w:t>. або на 22,9% (171,9 </w:t>
            </w:r>
            <w:proofErr w:type="spellStart"/>
            <w:r w:rsidRPr="00D91C9A">
              <w:t>млн.грн</w:t>
            </w:r>
            <w:proofErr w:type="spellEnd"/>
            <w:r w:rsidRPr="00D91C9A">
              <w:t>.) більше ніж у січні-лютому 2015 року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lastRenderedPageBreak/>
              <w:t xml:space="preserve">До Державного бюджету в тому числі зібрано 354,7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що на 31,4 </w:t>
            </w:r>
            <w:r w:rsidRPr="00D91C9A">
              <w:rPr>
                <w:lang w:val="en-US"/>
              </w:rPr>
              <w:t> 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або на 8,1% </w:t>
            </w:r>
            <w:r w:rsidRPr="00D91C9A">
              <w:rPr>
                <w:i/>
              </w:rPr>
              <w:t xml:space="preserve"> </w:t>
            </w:r>
            <w:r w:rsidRPr="00D91C9A">
              <w:t>менше аналогічного періоду минулого року.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>Зменшення надходжень до державного бюджету пов’язано із переходом з 01.01.2016 року на податковий облік до спеціалізованих податкових органів великих платників податків Вінницької області (відповідно до наказу ДФС України від 08.09.2015 року №681).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  <w:rPr>
                <w:i/>
              </w:rPr>
            </w:pPr>
            <w:r w:rsidRPr="00D91C9A">
              <w:t xml:space="preserve">З урахуванням бюджетного відшкодування грошовими коштами податку на додану вартість </w:t>
            </w:r>
            <w:r w:rsidRPr="00D91C9A">
              <w:rPr>
                <w:i/>
              </w:rPr>
              <w:t xml:space="preserve">(203,45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ріст  до січня-лютого 2015 року у 1,6 рази)</w:t>
            </w:r>
            <w:r w:rsidRPr="00D91C9A">
              <w:t xml:space="preserve">, фактичні надходження до Зведеного бюджету за січень-лютий 2016 року  склали близько 720,5 </w:t>
            </w:r>
            <w:proofErr w:type="spellStart"/>
            <w:r w:rsidRPr="00D91C9A">
              <w:t>млн.грн</w:t>
            </w:r>
            <w:proofErr w:type="spellEnd"/>
            <w:r w:rsidRPr="00D91C9A">
              <w:t>. (</w:t>
            </w:r>
            <w:r w:rsidRPr="00D91C9A">
              <w:rPr>
                <w:i/>
              </w:rPr>
              <w:t xml:space="preserve">зросли на 95,7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або на 15,3%)</w:t>
            </w:r>
            <w:r w:rsidRPr="00D91C9A">
              <w:t xml:space="preserve"> а до Державного бюджету - відповідно 151,2 </w:t>
            </w:r>
            <w:proofErr w:type="spellStart"/>
            <w:r w:rsidRPr="00D91C9A">
              <w:t>млн.грн</w:t>
            </w:r>
            <w:proofErr w:type="spellEnd"/>
            <w:r w:rsidRPr="00D91C9A">
              <w:rPr>
                <w:i/>
              </w:rPr>
              <w:t xml:space="preserve">. (скоротились на 107,7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., або на 41,6%).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  <w:rPr>
                <w:i/>
              </w:rPr>
            </w:pPr>
            <w:r w:rsidRPr="00D91C9A">
              <w:t>Питома вага надходжень до державного бюджету у структурі бюджетів усіх рівнів зменшилась на 12,9 відсоткових пункти і складає 38,4%.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>В структурі надходжень до Зведеного бюджету по Вінницькій області за  січень-лютий 2016 року найбільшу питому вагу займають: податок з доходів фізичних осіб – 57,4% (</w:t>
            </w:r>
            <w:r w:rsidRPr="00D91C9A">
              <w:rPr>
                <w:i/>
              </w:rPr>
              <w:t xml:space="preserve">його сума становила 413,33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t>.), єдиний податок – 16,2 % (</w:t>
            </w:r>
            <w:r w:rsidRPr="00D91C9A">
              <w:rPr>
                <w:i/>
              </w:rPr>
              <w:t xml:space="preserve">116,7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 xml:space="preserve">.), </w:t>
            </w:r>
            <w:r w:rsidRPr="00D91C9A">
              <w:t>плата за землю – 11,4% (</w:t>
            </w:r>
            <w:r w:rsidRPr="00D91C9A">
              <w:rPr>
                <w:i/>
              </w:rPr>
              <w:t xml:space="preserve">82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</w:t>
            </w:r>
            <w:r w:rsidRPr="00D91C9A">
              <w:t xml:space="preserve">), акцизний податок з реалізації підакцизних товарів – 6% </w:t>
            </w:r>
            <w:r w:rsidRPr="00D91C9A">
              <w:rPr>
                <w:i/>
              </w:rPr>
              <w:t>(43,6 млн. грн.),</w:t>
            </w:r>
            <w:r w:rsidRPr="00D91C9A">
              <w:t xml:space="preserve"> військовий збір  - 5,3% </w:t>
            </w:r>
            <w:r w:rsidRPr="00D91C9A">
              <w:rPr>
                <w:i/>
              </w:rPr>
              <w:t>(38,1млн.грн.),</w:t>
            </w:r>
            <w:r w:rsidRPr="00D91C9A">
              <w:t xml:space="preserve"> податок на прибуток – 3,4% </w:t>
            </w:r>
            <w:r w:rsidRPr="00D91C9A">
              <w:rPr>
                <w:i/>
              </w:rPr>
              <w:t>(24,3млн.грн.)</w:t>
            </w:r>
            <w:r w:rsidRPr="00D91C9A">
              <w:t>, тощо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>В січні-лютому 2016 року  забезпечено приріст надходжень: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- до державного бюджету: податку на доходи фізичних осіб – в 1,5 рази (+36,6 </w:t>
            </w:r>
            <w:proofErr w:type="spellStart"/>
            <w:r w:rsidRPr="00D91C9A">
              <w:t>млн.грн</w:t>
            </w:r>
            <w:proofErr w:type="spellEnd"/>
            <w:r w:rsidRPr="00D91C9A">
              <w:t>.), податку на додану вартість - на 19,5 % (+26,7</w:t>
            </w:r>
            <w:r w:rsidRPr="00D91C9A">
              <w:rPr>
                <w:lang w:val="en-US"/>
              </w:rPr>
              <w:t> </w:t>
            </w:r>
            <w:proofErr w:type="spellStart"/>
            <w:r w:rsidRPr="00D91C9A">
              <w:t>млн.грн</w:t>
            </w:r>
            <w:proofErr w:type="spellEnd"/>
            <w:r w:rsidRPr="00D91C9A">
              <w:t>.), військового збору – в 1,3 рази (+9,4</w:t>
            </w:r>
            <w:r w:rsidRPr="00D91C9A">
              <w:rPr>
                <w:lang w:val="en-US"/>
              </w:rPr>
              <w:t> </w:t>
            </w:r>
            <w:proofErr w:type="spellStart"/>
            <w:r w:rsidRPr="00D91C9A">
              <w:t>млн.грн</w:t>
            </w:r>
            <w:proofErr w:type="spellEnd"/>
            <w:r w:rsidRPr="00D91C9A">
              <w:t>.), частини прибутку господарських організацій - у 2,1 рази (+2,4 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.), збору у вигляді цільової надбавки до діючого тарифу на природний газ – на 8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.; 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>-до місцевих бюджетів: єдиного податку – в 1,6 рази (+42,9</w:t>
            </w:r>
            <w:r w:rsidRPr="00D91C9A">
              <w:rPr>
                <w:lang w:val="en-US"/>
              </w:rPr>
              <w:t> </w:t>
            </w:r>
            <w:proofErr w:type="spellStart"/>
            <w:r w:rsidRPr="00D91C9A">
              <w:t>млн.грн</w:t>
            </w:r>
            <w:proofErr w:type="spellEnd"/>
            <w:r w:rsidRPr="00D91C9A">
              <w:t>.), податку на доходи фізичних осіб – в 1,5 рази (+105,4 </w:t>
            </w:r>
            <w:proofErr w:type="spellStart"/>
            <w:r w:rsidRPr="00D91C9A">
              <w:t>млн.грн</w:t>
            </w:r>
            <w:proofErr w:type="spellEnd"/>
            <w:r w:rsidRPr="00D91C9A">
              <w:t>.), плати за землю – в 1,4 рази (+21,4 </w:t>
            </w:r>
            <w:proofErr w:type="spellStart"/>
            <w:r w:rsidRPr="00D91C9A">
              <w:t>млн.грн</w:t>
            </w:r>
            <w:proofErr w:type="spellEnd"/>
            <w:r w:rsidRPr="00D91C9A">
              <w:t>.).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</w:p>
          <w:p w:rsidR="00491A6D" w:rsidRPr="00D91C9A" w:rsidRDefault="00491A6D" w:rsidP="00491A6D">
            <w:pPr>
              <w:tabs>
                <w:tab w:val="left" w:pos="8822"/>
                <w:tab w:val="left" w:pos="9639"/>
              </w:tabs>
              <w:suppressAutoHyphens/>
              <w:ind w:firstLine="709"/>
              <w:jc w:val="both"/>
            </w:pPr>
            <w:r w:rsidRPr="00D91C9A">
              <w:t xml:space="preserve">Найбільші суми податків до бюджетів усіх рівнів сплачено підприємствами промисловості. Протягом січня-лютого 2016 року до Зведеного бюджету від них надійшло 182,1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(19,7% від загального збору платежів по області). До Державного бюджету України промисловим комплексом області сплачено 91,7 </w:t>
            </w:r>
            <w:proofErr w:type="spellStart"/>
            <w:r w:rsidRPr="00D91C9A">
              <w:t>млн.грн</w:t>
            </w:r>
            <w:proofErr w:type="spellEnd"/>
            <w:r w:rsidRPr="00D91C9A">
              <w:t>. (25,8% від загального збору податків до державного бюджету по області).</w:t>
            </w:r>
          </w:p>
          <w:p w:rsidR="00491A6D" w:rsidRPr="00D91C9A" w:rsidRDefault="00491A6D" w:rsidP="00491A6D">
            <w:pPr>
              <w:tabs>
                <w:tab w:val="left" w:pos="8822"/>
                <w:tab w:val="left" w:pos="9639"/>
              </w:tabs>
              <w:suppressAutoHyphens/>
              <w:ind w:firstLine="709"/>
              <w:jc w:val="both"/>
            </w:pPr>
            <w:r w:rsidRPr="00D91C9A">
              <w:t>Домінуюче положення в надходженнях від підприємств промисловості належить харчовій галузі, доля якої в зборі платежів до Зведеного бюджету складає 36,5% (сплачено 66,4 </w:t>
            </w:r>
            <w:proofErr w:type="spellStart"/>
            <w:r w:rsidRPr="00D91C9A">
              <w:t>млн.грн</w:t>
            </w:r>
            <w:proofErr w:type="spellEnd"/>
            <w:r w:rsidRPr="00D91C9A">
              <w:t>.), до державного бюджету – 35,1% (сплачено 32,2 </w:t>
            </w:r>
            <w:proofErr w:type="spellStart"/>
            <w:r w:rsidRPr="00D91C9A">
              <w:t>млн.грн</w:t>
            </w:r>
            <w:proofErr w:type="spellEnd"/>
            <w:r w:rsidRPr="00D91C9A">
              <w:t>.). Основні надходження забезпечено виробниками молочних продуктів і морозива та м’яса і м’ясних продуктів. Так, підприємствами, що займаються виробництвом молочних продуктів у січні-лютому 2016 року сплачено до Зведеного бюджету 13,5 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(20,3% від загальних надходжень по харчовій галузі), в </w:t>
            </w:r>
            <w:proofErr w:type="spellStart"/>
            <w:r w:rsidRPr="00D91C9A">
              <w:t>т.ч</w:t>
            </w:r>
            <w:proofErr w:type="spellEnd"/>
            <w:r w:rsidRPr="00D91C9A">
              <w:t xml:space="preserve">. до державного бюджету – 6,5 </w:t>
            </w:r>
            <w:proofErr w:type="spellStart"/>
            <w:r w:rsidRPr="00D91C9A">
              <w:t>млн.грн</w:t>
            </w:r>
            <w:proofErr w:type="spellEnd"/>
            <w:r w:rsidRPr="00D91C9A">
              <w:t>. (20,2% від загальних надходжень по харчовій галузі). Від виробників м’яса і м’ясних продуктів до Зведеного бюджету надійшло 12,6 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(19% від загальних надходжень по харчовій галузі), в </w:t>
            </w:r>
            <w:proofErr w:type="spellStart"/>
            <w:r w:rsidRPr="00D91C9A">
              <w:t>т.ч</w:t>
            </w:r>
            <w:proofErr w:type="spellEnd"/>
            <w:r w:rsidRPr="00D91C9A">
              <w:t>. до державного бюджету – 7,8 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(24,3% від загальних надходжень по харчовій галузі). </w:t>
            </w:r>
          </w:p>
          <w:p w:rsidR="00491A6D" w:rsidRPr="00D91C9A" w:rsidRDefault="00491A6D" w:rsidP="00491A6D">
            <w:pPr>
              <w:tabs>
                <w:tab w:val="left" w:pos="8822"/>
                <w:tab w:val="left" w:pos="9639"/>
              </w:tabs>
              <w:suppressAutoHyphens/>
              <w:ind w:firstLine="709"/>
              <w:jc w:val="both"/>
            </w:pPr>
            <w:r w:rsidRPr="00D91C9A">
              <w:t>Підприємствами, що займаються виробництвом та розподіленням електроенергії, газу та води протягом січня-лютого 2016 року сплачено до Зведеного бюджету 41 </w:t>
            </w:r>
            <w:proofErr w:type="spellStart"/>
            <w:r w:rsidRPr="00D91C9A">
              <w:t>млн.грн</w:t>
            </w:r>
            <w:proofErr w:type="spellEnd"/>
            <w:r w:rsidRPr="00D91C9A">
              <w:t>., що складає 22,5% від суми податків сплачених промисловим комплексом області. Надходження до державного бюджету від цих платників склали 18,1 </w:t>
            </w:r>
            <w:proofErr w:type="spellStart"/>
            <w:r w:rsidRPr="00D91C9A">
              <w:t>млн.грн</w:t>
            </w:r>
            <w:proofErr w:type="spellEnd"/>
            <w:r w:rsidRPr="00D91C9A">
              <w:t>., що становить 19,7% надходжень від підприємств промисловості.</w:t>
            </w:r>
          </w:p>
          <w:p w:rsidR="00491A6D" w:rsidRPr="00D91C9A" w:rsidRDefault="00491A6D" w:rsidP="00491A6D">
            <w:pPr>
              <w:tabs>
                <w:tab w:val="left" w:pos="8822"/>
                <w:tab w:val="left" w:pos="9639"/>
              </w:tabs>
              <w:suppressAutoHyphens/>
              <w:ind w:firstLine="709"/>
              <w:jc w:val="both"/>
            </w:pPr>
            <w:r w:rsidRPr="00D91C9A">
              <w:t>Від підприємств машинобудування у січні-лютому 2016 року до Зведеного бюджету надійшло 19,9 </w:t>
            </w:r>
            <w:proofErr w:type="spellStart"/>
            <w:r w:rsidRPr="00D91C9A">
              <w:t>млн.грн</w:t>
            </w:r>
            <w:proofErr w:type="spellEnd"/>
            <w:r w:rsidRPr="00D91C9A">
              <w:t>., що складає 10,9% від суми податків сплачених промисловим комплексом області. Надходження до державного бюджету від цих платників склали 13,8 </w:t>
            </w:r>
            <w:proofErr w:type="spellStart"/>
            <w:r w:rsidRPr="00D91C9A">
              <w:t>млн.грн</w:t>
            </w:r>
            <w:proofErr w:type="spellEnd"/>
            <w:r w:rsidRPr="00D91C9A">
              <w:t>. (15,1% від сум сплачених підприємствами промисловості).</w:t>
            </w:r>
          </w:p>
          <w:p w:rsidR="00491A6D" w:rsidRPr="00D91C9A" w:rsidRDefault="00491A6D" w:rsidP="00491A6D">
            <w:pPr>
              <w:tabs>
                <w:tab w:val="left" w:pos="8822"/>
                <w:tab w:val="left" w:pos="9639"/>
              </w:tabs>
              <w:suppressAutoHyphens/>
              <w:ind w:firstLine="709"/>
              <w:jc w:val="both"/>
            </w:pPr>
            <w:r w:rsidRPr="00D91C9A">
              <w:lastRenderedPageBreak/>
              <w:t>Питома вага надходжень в Зведеному бюджеті від підприємств, що займаються сільським господарством становить 13,5% (сплачено 125,2 </w:t>
            </w:r>
            <w:proofErr w:type="spellStart"/>
            <w:r w:rsidRPr="00D91C9A">
              <w:t>млн.грн</w:t>
            </w:r>
            <w:proofErr w:type="spellEnd"/>
            <w:r w:rsidRPr="00D91C9A">
              <w:t>.), торгівлею – 10,9% (сплачено 100,8 </w:t>
            </w:r>
            <w:proofErr w:type="spellStart"/>
            <w:r w:rsidRPr="00D91C9A">
              <w:t>млн.грн</w:t>
            </w:r>
            <w:proofErr w:type="spellEnd"/>
            <w:r w:rsidRPr="00D91C9A">
              <w:t>.), транспортом та зв’язком – 6,5% (сплачено 59,9 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.), будівництвом – 3% (сплачено 28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.). </w:t>
            </w:r>
          </w:p>
          <w:p w:rsidR="00A156B8" w:rsidRPr="00D91C9A" w:rsidRDefault="00A156B8" w:rsidP="00634B71">
            <w:pPr>
              <w:tabs>
                <w:tab w:val="left" w:pos="9356"/>
                <w:tab w:val="left" w:pos="9639"/>
              </w:tabs>
              <w:ind w:firstLine="709"/>
              <w:jc w:val="both"/>
            </w:pPr>
          </w:p>
        </w:tc>
      </w:tr>
      <w:tr w:rsidR="00A156B8" w:rsidRPr="00D91C9A" w:rsidTr="00251ED5">
        <w:trPr>
          <w:trHeight w:val="2228"/>
        </w:trPr>
        <w:tc>
          <w:tcPr>
            <w:tcW w:w="1702" w:type="dxa"/>
            <w:shd w:val="clear" w:color="auto" w:fill="auto"/>
          </w:tcPr>
          <w:p w:rsidR="00A156B8" w:rsidRPr="00D91C9A" w:rsidRDefault="00A156B8" w:rsidP="00CB796B">
            <w:pPr>
              <w:pStyle w:val="310"/>
              <w:jc w:val="left"/>
              <w:rPr>
                <w:rFonts w:cs="Times New Roman"/>
                <w:b/>
                <w:i/>
                <w:sz w:val="24"/>
              </w:rPr>
            </w:pPr>
            <w:r w:rsidRPr="00D91C9A">
              <w:rPr>
                <w:rFonts w:cs="Times New Roman"/>
                <w:b/>
                <w:i/>
                <w:sz w:val="24"/>
              </w:rPr>
              <w:lastRenderedPageBreak/>
              <w:t>Податкова недоїмка</w:t>
            </w:r>
          </w:p>
          <w:p w:rsidR="00A156B8" w:rsidRPr="00D91C9A" w:rsidRDefault="00A156B8" w:rsidP="00CB796B">
            <w:pPr>
              <w:pStyle w:val="af4"/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930" w:type="dxa"/>
            <w:shd w:val="clear" w:color="auto" w:fill="auto"/>
          </w:tcPr>
          <w:p w:rsidR="00491A6D" w:rsidRPr="00D91C9A" w:rsidRDefault="00491A6D" w:rsidP="00491A6D">
            <w:pPr>
              <w:tabs>
                <w:tab w:val="left" w:pos="540"/>
                <w:tab w:val="left" w:pos="9540"/>
              </w:tabs>
              <w:ind w:firstLine="539"/>
              <w:jc w:val="both"/>
            </w:pPr>
            <w:r w:rsidRPr="00D91C9A">
              <w:t xml:space="preserve">Станом на 01.03.2016 податковий борг до Зведеного бюджету, з урахуванням боргу банкрутів, складав 525,1 </w:t>
            </w:r>
            <w:proofErr w:type="spellStart"/>
            <w:r w:rsidRPr="00D91C9A">
              <w:t>млн.грн</w:t>
            </w:r>
            <w:proofErr w:type="spellEnd"/>
            <w:r w:rsidRPr="00D91C9A">
              <w:t>, з якого 398 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(75,8%) - борг з платежів до Державного бюджету. </w:t>
            </w:r>
          </w:p>
          <w:p w:rsidR="00A156B8" w:rsidRPr="00D91C9A" w:rsidRDefault="00491A6D" w:rsidP="00491A6D">
            <w:pPr>
              <w:tabs>
                <w:tab w:val="left" w:pos="540"/>
                <w:tab w:val="left" w:pos="9540"/>
              </w:tabs>
              <w:ind w:firstLine="539"/>
              <w:jc w:val="both"/>
            </w:pPr>
            <w:r w:rsidRPr="00D91C9A">
              <w:t>З початку року податкова заборгованість по області скоротилася на 3,4 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або на 0,7%. </w:t>
            </w:r>
          </w:p>
        </w:tc>
      </w:tr>
      <w:tr w:rsidR="00A156B8" w:rsidRPr="00D91C9A" w:rsidTr="00251ED5">
        <w:trPr>
          <w:trHeight w:val="557"/>
        </w:trPr>
        <w:tc>
          <w:tcPr>
            <w:tcW w:w="1702" w:type="dxa"/>
            <w:shd w:val="clear" w:color="auto" w:fill="auto"/>
          </w:tcPr>
          <w:p w:rsidR="00A156B8" w:rsidRPr="00D91C9A" w:rsidRDefault="00A156B8" w:rsidP="00CB796B">
            <w:pPr>
              <w:snapToGrid w:val="0"/>
              <w:rPr>
                <w:b/>
                <w:i/>
              </w:rPr>
            </w:pPr>
            <w:r w:rsidRPr="00D91C9A">
              <w:rPr>
                <w:b/>
                <w:i/>
              </w:rPr>
              <w:t>Виконання показників бюджету області</w:t>
            </w:r>
          </w:p>
          <w:p w:rsidR="00A156B8" w:rsidRPr="00D91C9A" w:rsidRDefault="00A156B8" w:rsidP="00CB796B">
            <w:pPr>
              <w:pStyle w:val="310"/>
              <w:jc w:val="left"/>
              <w:rPr>
                <w:rFonts w:cs="Times New Roman"/>
                <w:b/>
                <w:i/>
                <w:sz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491A6D" w:rsidRPr="00D91C9A" w:rsidRDefault="00491A6D" w:rsidP="00491A6D">
            <w:pPr>
              <w:suppressAutoHyphens/>
              <w:ind w:firstLine="851"/>
              <w:jc w:val="both"/>
            </w:pPr>
            <w:r w:rsidRPr="00D91C9A">
              <w:t xml:space="preserve">Відповідно до   даних Департаменту фінансів облдержадміністрації      </w:t>
            </w:r>
            <w:r w:rsidRPr="00D91C9A">
              <w:rPr>
                <w:bCs/>
              </w:rPr>
              <w:t xml:space="preserve">за 2 місяці 2016 року </w:t>
            </w:r>
            <w:r w:rsidRPr="00D91C9A">
              <w:t>до бюджету області  (</w:t>
            </w:r>
            <w:r w:rsidRPr="00D91C9A">
              <w:rPr>
                <w:i/>
                <w:iCs/>
              </w:rPr>
              <w:t>загальний і спеціальний фонди</w:t>
            </w:r>
            <w:r w:rsidRPr="00D91C9A">
              <w:t xml:space="preserve">) надійшло доходів без міжбюджетних трансфертів в сумі 663,2 млн. грн., що становить 16,5% до плану </w:t>
            </w:r>
            <w:r w:rsidRPr="00D91C9A">
              <w:rPr>
                <w:bCs/>
              </w:rPr>
              <w:t>на рік</w:t>
            </w:r>
            <w:r w:rsidRPr="00D91C9A">
              <w:t xml:space="preserve">, затвердженого місцевими радами з врахуванням змін (заплановано 4030,7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.). Порівняно з відповідним періодом минулого року надходження доходів місцевих бюджетів збільшились на 231,9 </w:t>
            </w:r>
            <w:proofErr w:type="spellStart"/>
            <w:r w:rsidRPr="00D91C9A">
              <w:t>млн.грн</w:t>
            </w:r>
            <w:proofErr w:type="spellEnd"/>
            <w:r w:rsidRPr="00D91C9A">
              <w:t>., або на 53,7%.</w:t>
            </w:r>
          </w:p>
          <w:p w:rsidR="00491A6D" w:rsidRPr="00D91C9A" w:rsidRDefault="00491A6D" w:rsidP="00491A6D">
            <w:pPr>
              <w:suppressAutoHyphens/>
              <w:ind w:firstLine="567"/>
              <w:jc w:val="both"/>
            </w:pPr>
            <w:r w:rsidRPr="00D91C9A">
              <w:t xml:space="preserve">У </w:t>
            </w:r>
            <w:proofErr w:type="spellStart"/>
            <w:r w:rsidRPr="00D91C9A">
              <w:t>т.ч</w:t>
            </w:r>
            <w:proofErr w:type="spellEnd"/>
            <w:r w:rsidRPr="00D91C9A">
              <w:t xml:space="preserve">. до </w:t>
            </w:r>
            <w:r w:rsidRPr="00D91C9A">
              <w:rPr>
                <w:bCs/>
              </w:rPr>
              <w:t>загального фонду</w:t>
            </w:r>
            <w:r w:rsidRPr="00D91C9A">
              <w:t xml:space="preserve"> бюджету області надійшло доходів без міжбюджетних трансфертів в сумі 576,6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що становить 16,4%  плану на рік, затвердженого місцевими радами з врахуванням змін (заплановано 3514,4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.) та 123,0% до планових показників на 2 місяці згідно помісячного розпису (заплановано 468,6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.). 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t xml:space="preserve">Порівняно з відповідним періодом минулого року надходження доходів (без міжбюджетних трансфертів) місцевих бюджетів </w:t>
            </w:r>
            <w:r w:rsidRPr="00D91C9A">
              <w:rPr>
                <w:bCs/>
              </w:rPr>
              <w:t>в абсолютній сумі</w:t>
            </w:r>
            <w:r w:rsidRPr="00D91C9A">
              <w:t xml:space="preserve"> збільшились на 203,1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або на 54,4%, а </w:t>
            </w:r>
            <w:r w:rsidRPr="00D91C9A">
              <w:rPr>
                <w:bCs/>
              </w:rPr>
              <w:t>у співставних умовах</w:t>
            </w:r>
            <w:r w:rsidRPr="00D91C9A">
              <w:t xml:space="preserve"> – збільшились на 206,3 </w:t>
            </w:r>
            <w:proofErr w:type="spellStart"/>
            <w:r w:rsidRPr="00D91C9A">
              <w:t>млн.грн</w:t>
            </w:r>
            <w:proofErr w:type="spellEnd"/>
            <w:r w:rsidRPr="00D91C9A">
              <w:t>., або на 55,7%.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rPr>
                <w:bCs/>
              </w:rPr>
              <w:t>Найбільший приріст</w:t>
            </w:r>
            <w:r w:rsidRPr="00D91C9A">
              <w:t xml:space="preserve"> надходжень доходів без міжбюджетних трансфертів </w:t>
            </w:r>
            <w:r w:rsidRPr="00D91C9A">
              <w:rPr>
                <w:bCs/>
              </w:rPr>
              <w:t>у співставних умовах</w:t>
            </w:r>
            <w:r w:rsidRPr="00D91C9A">
              <w:t xml:space="preserve">  по бюджетах: Гайсинського району – на 105,0%, </w:t>
            </w:r>
            <w:proofErr w:type="spellStart"/>
            <w:r w:rsidRPr="00D91C9A">
              <w:t>Калинівському</w:t>
            </w:r>
            <w:proofErr w:type="spellEnd"/>
            <w:r w:rsidRPr="00D91C9A">
              <w:t xml:space="preserve"> об’єднанню територіальних громад (</w:t>
            </w:r>
            <w:proofErr w:type="spellStart"/>
            <w:r w:rsidRPr="00D91C9A">
              <w:t>отг</w:t>
            </w:r>
            <w:proofErr w:type="spellEnd"/>
            <w:r w:rsidRPr="00D91C9A">
              <w:t xml:space="preserve">) – на 83,9%, Козятинського району – на 81,4%, </w:t>
            </w:r>
            <w:proofErr w:type="spellStart"/>
            <w:r w:rsidRPr="00D91C9A">
              <w:t>Чечельницького</w:t>
            </w:r>
            <w:proofErr w:type="spellEnd"/>
            <w:r w:rsidRPr="00D91C9A">
              <w:t xml:space="preserve"> району – на 71,8%, Барському району – на 70,3%.</w:t>
            </w:r>
          </w:p>
          <w:p w:rsidR="00491A6D" w:rsidRPr="00D91C9A" w:rsidRDefault="00491A6D" w:rsidP="00491A6D">
            <w:pPr>
              <w:suppressAutoHyphens/>
              <w:ind w:firstLine="709"/>
              <w:jc w:val="both"/>
            </w:pPr>
            <w:r w:rsidRPr="00D91C9A">
              <w:rPr>
                <w:bCs/>
              </w:rPr>
              <w:t>Найменший приріст</w:t>
            </w:r>
            <w:r w:rsidRPr="00D91C9A">
              <w:t xml:space="preserve"> надходжень по бюджетах: </w:t>
            </w:r>
            <w:proofErr w:type="spellStart"/>
            <w:r w:rsidRPr="00D91C9A">
              <w:t>Оратівському</w:t>
            </w:r>
            <w:proofErr w:type="spellEnd"/>
            <w:r w:rsidRPr="00D91C9A">
              <w:t xml:space="preserve"> району - збільшення на 25,9%,  обласному бюджету – на 29,6%, Чернівецькому району – на 37,0%, </w:t>
            </w:r>
            <w:proofErr w:type="spellStart"/>
            <w:r w:rsidRPr="00D91C9A">
              <w:t>Студенянському</w:t>
            </w:r>
            <w:proofErr w:type="spellEnd"/>
            <w:r w:rsidRPr="00D91C9A">
              <w:t xml:space="preserve"> </w:t>
            </w:r>
            <w:proofErr w:type="spellStart"/>
            <w:r w:rsidRPr="00D91C9A">
              <w:t>отг</w:t>
            </w:r>
            <w:proofErr w:type="spellEnd"/>
            <w:r w:rsidRPr="00D91C9A">
              <w:t xml:space="preserve">   –  на 38,1%, м. Жмеринка  –  на 43,5%.</w:t>
            </w:r>
          </w:p>
          <w:p w:rsidR="00491A6D" w:rsidRPr="00D91C9A" w:rsidRDefault="00491A6D" w:rsidP="00491A6D">
            <w:pPr>
              <w:tabs>
                <w:tab w:val="left" w:pos="8505"/>
                <w:tab w:val="left" w:pos="9356"/>
              </w:tabs>
              <w:suppressAutoHyphens/>
              <w:ind w:firstLine="851"/>
              <w:jc w:val="both"/>
            </w:pPr>
            <w:r w:rsidRPr="00D91C9A">
              <w:t xml:space="preserve">Дохідну частину бюджету до плану на 2 місяці виконано по всіх 36-ти бюджетах адміністративно-територіальних одиниць (міст обласного значення, бюджетів районів, об’єднаних територіальних громад та обласному бюджету). </w:t>
            </w:r>
          </w:p>
          <w:p w:rsidR="00491A6D" w:rsidRPr="00D91C9A" w:rsidRDefault="00491A6D" w:rsidP="00491A6D">
            <w:pPr>
              <w:suppressAutoHyphens/>
              <w:ind w:firstLine="540"/>
              <w:jc w:val="both"/>
            </w:pPr>
            <w:r w:rsidRPr="00D91C9A">
              <w:rPr>
                <w:bCs/>
              </w:rPr>
              <w:t>Найбільший рівень</w:t>
            </w:r>
            <w:r w:rsidRPr="00D91C9A">
              <w:t xml:space="preserve"> виконання </w:t>
            </w:r>
            <w:r w:rsidRPr="00D91C9A">
              <w:rPr>
                <w:bCs/>
              </w:rPr>
              <w:t>планів на рік</w:t>
            </w:r>
            <w:r w:rsidRPr="00D91C9A">
              <w:t xml:space="preserve"> по доходах загального фонду (без трансфертів), затверджених місцевими радами, по бюджетах: Вінницького району – 24,8% плану на рік (при розрахунковій нормі на 2 місяці 16,7%), </w:t>
            </w:r>
            <w:proofErr w:type="spellStart"/>
            <w:r w:rsidRPr="00D91C9A">
              <w:t>м.Хмільнику</w:t>
            </w:r>
            <w:proofErr w:type="spellEnd"/>
            <w:r w:rsidRPr="00D91C9A">
              <w:t xml:space="preserve"> – 19,9%, </w:t>
            </w:r>
            <w:proofErr w:type="spellStart"/>
            <w:r w:rsidRPr="00D91C9A">
              <w:t>Погребищенського</w:t>
            </w:r>
            <w:proofErr w:type="spellEnd"/>
            <w:r w:rsidRPr="00D91C9A">
              <w:t xml:space="preserve"> району – 19,8%, Калиновському </w:t>
            </w:r>
            <w:proofErr w:type="spellStart"/>
            <w:r w:rsidRPr="00D91C9A">
              <w:t>отг</w:t>
            </w:r>
            <w:proofErr w:type="spellEnd"/>
            <w:r w:rsidRPr="00D91C9A">
              <w:t xml:space="preserve"> – 19,5%, </w:t>
            </w:r>
            <w:proofErr w:type="spellStart"/>
            <w:r w:rsidRPr="00D91C9A">
              <w:t>Шаргородського</w:t>
            </w:r>
            <w:proofErr w:type="spellEnd"/>
            <w:r w:rsidRPr="00D91C9A">
              <w:t xml:space="preserve">  району – 19,2%. </w:t>
            </w:r>
          </w:p>
          <w:p w:rsidR="00491A6D" w:rsidRPr="00D91C9A" w:rsidRDefault="00491A6D" w:rsidP="00491A6D">
            <w:pPr>
              <w:suppressAutoHyphens/>
              <w:ind w:firstLine="540"/>
              <w:jc w:val="both"/>
            </w:pPr>
            <w:r w:rsidRPr="00D91C9A">
              <w:rPr>
                <w:bCs/>
              </w:rPr>
              <w:t>Найменший рівень</w:t>
            </w:r>
            <w:r w:rsidRPr="00D91C9A">
              <w:t xml:space="preserve"> виконання бюджетів -  по Чернівецькому району  – 12,2%,  обласному бюджету  –  12,3%,  Томашпільському району – 13,6%, Хмільницькому району – 14,1%, </w:t>
            </w:r>
            <w:proofErr w:type="spellStart"/>
            <w:r w:rsidRPr="00D91C9A">
              <w:t>Піщанському</w:t>
            </w:r>
            <w:proofErr w:type="spellEnd"/>
            <w:r w:rsidRPr="00D91C9A">
              <w:t xml:space="preserve"> району  – 14,2%.</w:t>
            </w:r>
          </w:p>
          <w:p w:rsidR="00491A6D" w:rsidRPr="00D91C9A" w:rsidRDefault="00491A6D" w:rsidP="00491A6D">
            <w:pPr>
              <w:suppressAutoHyphens/>
              <w:ind w:firstLine="720"/>
              <w:jc w:val="both"/>
            </w:pPr>
            <w:r w:rsidRPr="00D91C9A">
              <w:t>Із 697 сільських, селищних, міських (міст районного значення) рад виконали свої бюджети за доходами без трансфертів по планах на 2 місяці 2016 року 638 рад, або 92% їх загальної кількості. Не виконано 59 бюджетів. Разом з тим, на сьогодні по 1 бюджету (</w:t>
            </w:r>
            <w:proofErr w:type="spellStart"/>
            <w:r w:rsidRPr="00D91C9A">
              <w:t>Бохоницької</w:t>
            </w:r>
            <w:proofErr w:type="spellEnd"/>
            <w:r w:rsidRPr="00D91C9A">
              <w:t xml:space="preserve"> сільради Вінницького району) виконано вже річні бюджетні призначення по доходах, а ще по 6 бюджетах – виконання становить більше 50% плану на рік.</w:t>
            </w:r>
          </w:p>
          <w:p w:rsidR="00491A6D" w:rsidRPr="00D91C9A" w:rsidRDefault="00491A6D" w:rsidP="00491A6D">
            <w:pPr>
              <w:suppressAutoHyphens/>
              <w:ind w:firstLine="540"/>
              <w:jc w:val="both"/>
            </w:pPr>
            <w:r w:rsidRPr="00D91C9A">
              <w:t xml:space="preserve"> Забезпечено виконання всіх бюджетів базового рівня у 12 районах, не забезпечено – у 17 районах. З них, найбільше </w:t>
            </w:r>
            <w:proofErr w:type="spellStart"/>
            <w:r w:rsidRPr="00D91C9A">
              <w:t>невиконано</w:t>
            </w:r>
            <w:proofErr w:type="spellEnd"/>
            <w:r w:rsidRPr="00D91C9A">
              <w:t xml:space="preserve"> бюджетів у Бершадському </w:t>
            </w:r>
            <w:r w:rsidRPr="00D91C9A">
              <w:lastRenderedPageBreak/>
              <w:t xml:space="preserve">районі - 16 бюджетів, у </w:t>
            </w:r>
            <w:proofErr w:type="spellStart"/>
            <w:r w:rsidRPr="00D91C9A">
              <w:t>Оратівському</w:t>
            </w:r>
            <w:proofErr w:type="spellEnd"/>
            <w:r w:rsidRPr="00D91C9A">
              <w:t xml:space="preserve"> – 6 бюджетів, Барському, </w:t>
            </w:r>
            <w:proofErr w:type="spellStart"/>
            <w:r w:rsidRPr="00D91C9A">
              <w:t>Теплицькому</w:t>
            </w:r>
            <w:proofErr w:type="spellEnd"/>
            <w:r w:rsidRPr="00D91C9A">
              <w:t xml:space="preserve"> та </w:t>
            </w:r>
            <w:proofErr w:type="spellStart"/>
            <w:r w:rsidRPr="00D91C9A">
              <w:t>Тростянецьком</w:t>
            </w:r>
            <w:proofErr w:type="spellEnd"/>
            <w:r w:rsidRPr="00D91C9A">
              <w:t xml:space="preserve"> районах – по 5 бюджетів.</w:t>
            </w:r>
          </w:p>
          <w:p w:rsidR="00491A6D" w:rsidRPr="00D91C9A" w:rsidRDefault="00491A6D" w:rsidP="00491A6D">
            <w:pPr>
              <w:suppressAutoHyphens/>
              <w:ind w:firstLine="720"/>
              <w:jc w:val="both"/>
              <w:rPr>
                <w:rFonts w:eastAsia="MS Mincho"/>
              </w:rPr>
            </w:pPr>
            <w:r w:rsidRPr="00D91C9A">
              <w:rPr>
                <w:rFonts w:eastAsia="MS Mincho"/>
              </w:rPr>
              <w:t xml:space="preserve">Крім власних надходжень податків і зборів до загального фонду бюджету області отримано також 43,7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 xml:space="preserve">. дотацій, або 100,0% плану на 2 місяці  та 1165,4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 xml:space="preserve">. субвенцій з державного бюджету, або 77,2% до плану на 2 місяць (недоотримано 344,3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 xml:space="preserve">. субвенцій, у </w:t>
            </w:r>
            <w:proofErr w:type="spellStart"/>
            <w:r w:rsidRPr="00D91C9A">
              <w:rPr>
                <w:rFonts w:eastAsia="MS Mincho"/>
              </w:rPr>
              <w:t>т.ч</w:t>
            </w:r>
            <w:proofErr w:type="spellEnd"/>
            <w:r w:rsidRPr="00D91C9A">
              <w:rPr>
                <w:rFonts w:eastAsia="MS Mincho"/>
              </w:rPr>
              <w:t xml:space="preserve">. 326,7 </w:t>
            </w:r>
            <w:proofErr w:type="spellStart"/>
            <w:r w:rsidRPr="00D91C9A">
              <w:rPr>
                <w:rFonts w:eastAsia="MS Mincho"/>
              </w:rPr>
              <w:t>тис.грн</w:t>
            </w:r>
            <w:proofErr w:type="spellEnd"/>
            <w:r w:rsidRPr="00D91C9A">
              <w:rPr>
                <w:rFonts w:eastAsia="MS Mincho"/>
              </w:rPr>
              <w:t xml:space="preserve">. субвенції на надання пільг та житлових субсидій населенню). Проти аналогічного періоду 2015 року  надходження дотацій та субвенцій з Державного бюджету збільшилось на 225,8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>., або на 23,0%.</w:t>
            </w:r>
          </w:p>
          <w:p w:rsidR="00491A6D" w:rsidRPr="00D91C9A" w:rsidRDefault="00491A6D" w:rsidP="00491A6D">
            <w:pPr>
              <w:tabs>
                <w:tab w:val="left" w:pos="8505"/>
                <w:tab w:val="left" w:pos="9356"/>
              </w:tabs>
              <w:suppressAutoHyphens/>
              <w:ind w:firstLine="851"/>
              <w:jc w:val="both"/>
              <w:rPr>
                <w:rFonts w:eastAsia="MS Mincho"/>
              </w:rPr>
            </w:pPr>
            <w:r w:rsidRPr="00D91C9A">
              <w:rPr>
                <w:rFonts w:eastAsia="MS Mincho"/>
              </w:rPr>
              <w:t xml:space="preserve">З врахуванням всіх міжбюджетних трансфертів (субвенцій, дотацій) з державного бюджету бюджет області по доходах загального фонду отримав 1785,7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 xml:space="preserve">., або 16,6% до уточненого плану на рік (план 10756,0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 xml:space="preserve">.) та 88,3% до уточненого плану на 2 місяці (план 2022,0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 xml:space="preserve">.),  </w:t>
            </w:r>
            <w:r w:rsidRPr="00D91C9A">
              <w:t xml:space="preserve">і проти аналогічного періоду минулого року збільшились на 428,9 </w:t>
            </w:r>
            <w:proofErr w:type="spellStart"/>
            <w:r w:rsidRPr="00D91C9A">
              <w:t>млн.грн</w:t>
            </w:r>
            <w:proofErr w:type="spellEnd"/>
            <w:r w:rsidRPr="00D91C9A">
              <w:t>., або на 31,6%.</w:t>
            </w:r>
          </w:p>
          <w:p w:rsidR="00491A6D" w:rsidRPr="00D91C9A" w:rsidRDefault="00491A6D" w:rsidP="00491A6D">
            <w:pPr>
              <w:suppressAutoHyphens/>
              <w:ind w:firstLine="851"/>
              <w:jc w:val="both"/>
            </w:pPr>
            <w:r w:rsidRPr="00D91C9A">
              <w:t xml:space="preserve">За 2 місяці поточного року по зведеному бюджету області проведено </w:t>
            </w:r>
            <w:r w:rsidRPr="00D91C9A">
              <w:rPr>
                <w:bCs/>
              </w:rPr>
              <w:t xml:space="preserve">видатків </w:t>
            </w:r>
            <w:r w:rsidRPr="00D91C9A">
              <w:rPr>
                <w:bCs/>
                <w:iCs/>
              </w:rPr>
              <w:t>загального і спеціального фондів</w:t>
            </w:r>
            <w:r w:rsidRPr="00D91C9A">
              <w:rPr>
                <w:bCs/>
              </w:rPr>
              <w:t xml:space="preserve"> </w:t>
            </w:r>
            <w:r w:rsidRPr="00D91C9A">
              <w:t xml:space="preserve"> в сумі 1607,8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що становить 14,0% плану на рік, затвердженого місцевими радами з врахуванням змін (заплановано 11483,6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.), і збільшились проти аналогічного періоду минулого року на 355,3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або на 28,4%. З них  проведено </w:t>
            </w:r>
            <w:r w:rsidRPr="00D91C9A">
              <w:rPr>
                <w:bCs/>
              </w:rPr>
              <w:t>видатків розвитку</w:t>
            </w:r>
            <w:r w:rsidRPr="00D91C9A">
              <w:t xml:space="preserve"> в сумі 39,7 млн грн., що становить 4,4% плану на рік з врахуванням змін (заплановано 906,5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.), що менше проти 2 місяців минулого року на 30,6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або на 43,5%. </w:t>
            </w:r>
          </w:p>
          <w:p w:rsidR="00491A6D" w:rsidRPr="00D91C9A" w:rsidRDefault="00491A6D" w:rsidP="00491A6D">
            <w:pPr>
              <w:suppressAutoHyphens/>
              <w:ind w:firstLine="851"/>
              <w:jc w:val="both"/>
            </w:pPr>
            <w:r w:rsidRPr="00D91C9A">
              <w:t>За січень-лютий 2016 року</w:t>
            </w:r>
            <w:r w:rsidRPr="00D91C9A">
              <w:rPr>
                <w:bCs/>
              </w:rPr>
              <w:t xml:space="preserve"> </w:t>
            </w:r>
            <w:r w:rsidRPr="00D91C9A">
              <w:t>проведено</w:t>
            </w:r>
            <w:r w:rsidRPr="00D91C9A">
              <w:rPr>
                <w:bCs/>
              </w:rPr>
              <w:t xml:space="preserve"> 1518,5 </w:t>
            </w:r>
            <w:proofErr w:type="spellStart"/>
            <w:r w:rsidRPr="00D91C9A">
              <w:t>млн.грн</w:t>
            </w:r>
            <w:proofErr w:type="spellEnd"/>
            <w:r w:rsidRPr="00D91C9A">
              <w:t>.</w:t>
            </w:r>
            <w:r w:rsidRPr="00D91C9A">
              <w:rPr>
                <w:bCs/>
              </w:rPr>
              <w:t xml:space="preserve"> видатків</w:t>
            </w:r>
            <w:r w:rsidRPr="00D91C9A">
              <w:t xml:space="preserve"> </w:t>
            </w:r>
            <w:r w:rsidRPr="00D91C9A">
              <w:rPr>
                <w:bCs/>
              </w:rPr>
              <w:t>загального фонду</w:t>
            </w:r>
            <w:r w:rsidRPr="00D91C9A">
              <w:t xml:space="preserve">, що становить 14,9% плану на рік, затвердженого місцевими радами з врахуванням змін (заплановано 10197,1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.), та 75,8% до планових показників на 2 місяці згідно помісячного розпису (заплановано 2003,9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.), і проти аналогічного періоду 2015 року збільшились на  383,1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або на 33,7%. </w:t>
            </w:r>
          </w:p>
          <w:p w:rsidR="00491A6D" w:rsidRPr="00D91C9A" w:rsidRDefault="00491A6D" w:rsidP="00491A6D">
            <w:pPr>
              <w:suppressAutoHyphens/>
              <w:ind w:firstLine="851"/>
              <w:jc w:val="both"/>
              <w:rPr>
                <w:rFonts w:eastAsia="MS Mincho"/>
              </w:rPr>
            </w:pPr>
            <w:r w:rsidRPr="00D91C9A">
              <w:rPr>
                <w:rFonts w:eastAsia="MS Mincho"/>
              </w:rPr>
              <w:t>В першу чергу кошти бюджету спрямовувались на фінансування соціально-культурної сфери:</w:t>
            </w:r>
            <w:r w:rsidRPr="00D91C9A">
              <w:t xml:space="preserve"> за 2 місяці 2016 року на зазначені цілі використано 1385,1 </w:t>
            </w:r>
            <w:proofErr w:type="spellStart"/>
            <w:r w:rsidRPr="00D91C9A">
              <w:t>млн.грн</w:t>
            </w:r>
            <w:proofErr w:type="spellEnd"/>
            <w:r w:rsidRPr="00D91C9A">
              <w:t>. - це 91,2% усіх видатків загального фонду, у тому числі</w:t>
            </w:r>
            <w:r w:rsidRPr="00D91C9A">
              <w:rPr>
                <w:rFonts w:eastAsia="MS Mincho"/>
              </w:rPr>
              <w:t xml:space="preserve"> на освіту використано 454,0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 xml:space="preserve">. (проти аналогічного періоду минулого року збільшення на 55,2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 xml:space="preserve">., або на 13,8%), на охорону здоров’я – 255,8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 xml:space="preserve">. (збільшення проти 2 місяців 2015 року на 26,2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 xml:space="preserve">., або на 11,4%), на </w:t>
            </w:r>
            <w:r w:rsidRPr="00D91C9A">
              <w:t xml:space="preserve">соціальний захист та соціальне забезпечення – 612,4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(збільшилися на 265,4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., або на 76,5%), </w:t>
            </w:r>
            <w:r w:rsidRPr="00D91C9A">
              <w:rPr>
                <w:rFonts w:eastAsia="MS Mincho"/>
              </w:rPr>
              <w:t xml:space="preserve">на культуру – 47,5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 xml:space="preserve">. (збільшення на 3,6 </w:t>
            </w:r>
            <w:proofErr w:type="spellStart"/>
            <w:r w:rsidRPr="00D91C9A">
              <w:rPr>
                <w:rFonts w:eastAsia="MS Mincho"/>
              </w:rPr>
              <w:t>млн.грн</w:t>
            </w:r>
            <w:proofErr w:type="spellEnd"/>
            <w:r w:rsidRPr="00D91C9A">
              <w:rPr>
                <w:rFonts w:eastAsia="MS Mincho"/>
              </w:rPr>
              <w:t>., або на 8,2%).</w:t>
            </w:r>
          </w:p>
          <w:p w:rsidR="00491A6D" w:rsidRPr="00D91C9A" w:rsidRDefault="00491A6D" w:rsidP="00491A6D">
            <w:pPr>
              <w:suppressAutoHyphens/>
              <w:ind w:firstLine="851"/>
              <w:jc w:val="both"/>
            </w:pPr>
            <w:r w:rsidRPr="00D91C9A">
              <w:t xml:space="preserve">Забезпечується в повному обсязі фінансування захищених статей бюджету, зокрема повнота та своєчасність виплати заробітної плати з нарахуваннями, розрахунків за спожиті енергоносії,  виплат населенню по соціальному забезпеченню (стипендій, пільгових пенсій тощо). </w:t>
            </w:r>
          </w:p>
          <w:p w:rsidR="00491A6D" w:rsidRPr="00D91C9A" w:rsidRDefault="00491A6D" w:rsidP="00491A6D">
            <w:pPr>
              <w:suppressAutoHyphens/>
              <w:ind w:firstLine="851"/>
              <w:jc w:val="both"/>
            </w:pPr>
            <w:r w:rsidRPr="00D91C9A">
              <w:t>За оперативними даними прострочена кредиторська заборгованість із зазначених виплат відсутня.</w:t>
            </w:r>
          </w:p>
          <w:p w:rsidR="00442996" w:rsidRPr="00D91C9A" w:rsidRDefault="00442996" w:rsidP="00442996">
            <w:pPr>
              <w:ind w:firstLine="459"/>
              <w:jc w:val="both"/>
              <w:rPr>
                <w:rFonts w:eastAsia="MS Mincho"/>
              </w:rPr>
            </w:pPr>
          </w:p>
        </w:tc>
      </w:tr>
      <w:tr w:rsidR="00A156B8" w:rsidRPr="00D91C9A" w:rsidTr="00251ED5">
        <w:trPr>
          <w:trHeight w:val="284"/>
        </w:trPr>
        <w:tc>
          <w:tcPr>
            <w:tcW w:w="1702" w:type="dxa"/>
            <w:shd w:val="clear" w:color="auto" w:fill="auto"/>
          </w:tcPr>
          <w:p w:rsidR="00A156B8" w:rsidRPr="00D91C9A" w:rsidRDefault="00A156B8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D91C9A">
              <w:rPr>
                <w:b/>
                <w:i/>
                <w:sz w:val="24"/>
                <w:szCs w:val="24"/>
              </w:rPr>
              <w:lastRenderedPageBreak/>
              <w:t>Стан адміністрування єдиного внеску на обов’язкове державне соціальне страхування</w:t>
            </w:r>
          </w:p>
        </w:tc>
        <w:tc>
          <w:tcPr>
            <w:tcW w:w="8930" w:type="dxa"/>
            <w:shd w:val="clear" w:color="auto" w:fill="auto"/>
          </w:tcPr>
          <w:p w:rsidR="00731BBC" w:rsidRPr="00D91C9A" w:rsidRDefault="00731BBC" w:rsidP="00731BBC">
            <w:pPr>
              <w:ind w:firstLine="567"/>
              <w:jc w:val="both"/>
            </w:pPr>
            <w:r w:rsidRPr="00D91C9A">
              <w:t xml:space="preserve">Відповідно до даних Головного управління ДФС у Вінницькій області станом 01.03.2016 на обліку в області перебуває </w:t>
            </w:r>
            <w:r w:rsidRPr="00D91C9A">
              <w:rPr>
                <w:lang w:val="ru-RU"/>
              </w:rPr>
              <w:t xml:space="preserve">116001 </w:t>
            </w:r>
            <w:r w:rsidRPr="00D91C9A">
              <w:t xml:space="preserve">платників єдиного внеску (юридичні особи  – </w:t>
            </w:r>
            <w:r w:rsidRPr="00D91C9A">
              <w:rPr>
                <w:lang w:val="ru-RU"/>
              </w:rPr>
              <w:t>30013</w:t>
            </w:r>
            <w:r w:rsidRPr="00D91C9A">
              <w:t xml:space="preserve">, фізичні – </w:t>
            </w:r>
            <w:r w:rsidRPr="00D91C9A">
              <w:rPr>
                <w:lang w:val="ru-RU"/>
              </w:rPr>
              <w:t>85988</w:t>
            </w:r>
            <w:r w:rsidRPr="00D91C9A">
              <w:t xml:space="preserve">). В порівнянні з 01.01.2016 кількість платників зросла на 423 або на 0,3% (на 01.01.2016 року на обліку перебувало 115578 платників (юридичні особи – 29785, фізичні – 85793).Протягом січня 2016 року надійшло 249,9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єдиного соціального внеску, що на 75,8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(23,3%) менше від надходжень січня 2015 року. </w:t>
            </w:r>
          </w:p>
          <w:p w:rsidR="00731BBC" w:rsidRPr="00D91C9A" w:rsidRDefault="00731BBC" w:rsidP="00731BBC">
            <w:pPr>
              <w:ind w:firstLine="720"/>
              <w:jc w:val="both"/>
            </w:pPr>
            <w:r w:rsidRPr="00D91C9A">
              <w:t xml:space="preserve">Борг з єдиного соціального внеску на 01.03.2016 становить 94,2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, в </w:t>
            </w:r>
            <w:proofErr w:type="spellStart"/>
            <w:r w:rsidRPr="00D91C9A">
              <w:t>т.ч</w:t>
            </w:r>
            <w:proofErr w:type="spellEnd"/>
            <w:r w:rsidRPr="00D91C9A">
              <w:t>.: по юридичних особах – 57,9</w:t>
            </w:r>
            <w:r w:rsidRPr="00D91C9A">
              <w:rPr>
                <w:lang w:val="en-US"/>
              </w:rPr>
              <w:t> </w:t>
            </w:r>
            <w:proofErr w:type="spellStart"/>
            <w:r w:rsidRPr="00D91C9A">
              <w:t>млн.грн</w:t>
            </w:r>
            <w:proofErr w:type="spellEnd"/>
            <w:r w:rsidRPr="00D91C9A">
              <w:t>., по фізичних особах – 3</w:t>
            </w:r>
            <w:r w:rsidRPr="00D91C9A">
              <w:rPr>
                <w:lang w:val="ru-RU"/>
              </w:rPr>
              <w:t>6</w:t>
            </w:r>
            <w:r w:rsidRPr="00D91C9A">
              <w:t>,</w:t>
            </w:r>
            <w:r w:rsidRPr="00D91C9A">
              <w:rPr>
                <w:lang w:val="ru-RU"/>
              </w:rPr>
              <w:t>3</w:t>
            </w:r>
            <w:r w:rsidRPr="00D91C9A">
              <w:t> млн. гривень.</w:t>
            </w:r>
          </w:p>
          <w:p w:rsidR="00A156B8" w:rsidRPr="00D91C9A" w:rsidRDefault="00731BBC" w:rsidP="00731BBC">
            <w:pPr>
              <w:ind w:firstLine="709"/>
              <w:jc w:val="both"/>
              <w:rPr>
                <w:b/>
              </w:rPr>
            </w:pPr>
            <w:r w:rsidRPr="00D91C9A">
              <w:t xml:space="preserve">Протягом лютого 2016 року борг по ЄВ зріс на 5,4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або на 6% </w:t>
            </w:r>
            <w:r w:rsidRPr="00D91C9A">
              <w:rPr>
                <w:i/>
              </w:rPr>
              <w:t xml:space="preserve">(по юридичних особах борг скоротився – на 0,1 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 (0,1%), по фізичних особах борг зріс на 5,5 </w:t>
            </w:r>
            <w:proofErr w:type="spellStart"/>
            <w:r w:rsidRPr="00D91C9A">
              <w:rPr>
                <w:i/>
              </w:rPr>
              <w:t>млн.грн</w:t>
            </w:r>
            <w:proofErr w:type="spellEnd"/>
            <w:r w:rsidRPr="00D91C9A">
              <w:rPr>
                <w:i/>
              </w:rPr>
              <w:t>. (17,8 %)).</w:t>
            </w:r>
          </w:p>
        </w:tc>
      </w:tr>
      <w:tr w:rsidR="00A156B8" w:rsidRPr="00D91C9A" w:rsidTr="000E5B5F">
        <w:trPr>
          <w:trHeight w:val="284"/>
        </w:trPr>
        <w:tc>
          <w:tcPr>
            <w:tcW w:w="1702" w:type="dxa"/>
            <w:shd w:val="clear" w:color="auto" w:fill="FFFFFF" w:themeFill="background1"/>
          </w:tcPr>
          <w:p w:rsidR="00A156B8" w:rsidRPr="00D91C9A" w:rsidRDefault="00A156B8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D91C9A">
              <w:rPr>
                <w:b/>
                <w:i/>
                <w:sz w:val="24"/>
                <w:szCs w:val="24"/>
              </w:rPr>
              <w:lastRenderedPageBreak/>
              <w:t>Виконання основних показників діяльності Пенсійного фонду України у Вінницькій області</w:t>
            </w:r>
          </w:p>
        </w:tc>
        <w:tc>
          <w:tcPr>
            <w:tcW w:w="8930" w:type="dxa"/>
            <w:shd w:val="clear" w:color="auto" w:fill="FFFFFF" w:themeFill="background1"/>
          </w:tcPr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Згідно із  даними Головного управління Пенсійного фонду України у Вінницькій області в області </w:t>
            </w:r>
            <w:r w:rsidRPr="00D91C9A">
              <w:rPr>
                <w:bCs/>
              </w:rPr>
              <w:t>забезпечено стабільну виплату всіх пенсійних зобов’язань</w:t>
            </w:r>
            <w:r w:rsidRPr="00D91C9A">
              <w:t xml:space="preserve">, а також докладається максимум зусиль для швидкого й повного перерахунку пенсійних виплат у зв’язку із змінами в законодавстві. </w:t>
            </w: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За січень-лютий 2016 року до бюджету Пенсійного фонду України у Вінницькій області, з усіх джерел фінансування,  за оперативними даними, надходження склали 424,5 млн. грн. (в </w:t>
            </w:r>
            <w:proofErr w:type="spellStart"/>
            <w:r w:rsidRPr="00D91C9A">
              <w:t>т.ч</w:t>
            </w:r>
            <w:proofErr w:type="spellEnd"/>
            <w:r w:rsidRPr="00D91C9A">
              <w:t xml:space="preserve">. за даними Міністерства доходів і зборів сума ЄСВ – 416,3 млн. грн.) і в порівнянні з січнем-лютим 2015 року зменшились на 32,7 % або на 206,5 млн. грн. </w:t>
            </w: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У частині фінансування виплати пенсій Вінниччина залишається дотаційним регіоном. Станом на 01.03.2016 року забезпеченість власними коштами на виплату пенсій складає </w:t>
            </w:r>
            <w:r w:rsidRPr="00D91C9A">
              <w:rPr>
                <w:lang w:val="ru-RU"/>
              </w:rPr>
              <w:t>27,9</w:t>
            </w:r>
            <w:r w:rsidRPr="00D91C9A">
              <w:t>% і в порівнянні з відповідним періодом минулого року зменшилась на 15,7 відсоткових пункти.</w:t>
            </w: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>Фактичні видатки на виплату пенсій та грошової допомоги у Вінницькій області за січень - лютий 2016 року, склали 1 523,8 млн. грн., що майже на 5,2% більше, ніж у минулому році,</w:t>
            </w:r>
            <w:r w:rsidRPr="00D91C9A">
              <w:rPr>
                <w:b/>
              </w:rPr>
              <w:t xml:space="preserve"> </w:t>
            </w:r>
            <w:r w:rsidRPr="00D91C9A">
              <w:t xml:space="preserve">або на 75,9 млн. грн. </w:t>
            </w: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Станом на 01.01.2016 в області фактично отримують пенсії 474 606 осіб. Середньомісячний розмір пенсії складає 1460  грн. 88  коп. і зріс, у порівнянні з 01.01.15 року на 8,68% </w:t>
            </w:r>
            <w:r w:rsidRPr="00D91C9A">
              <w:rPr>
                <w:i/>
              </w:rPr>
              <w:t>(становив 1344 грн. 19 коп.).</w:t>
            </w: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Крім того, станом на </w:t>
            </w:r>
            <w:r w:rsidRPr="00D91C9A">
              <w:rPr>
                <w:bCs/>
              </w:rPr>
              <w:t xml:space="preserve">01.01.2016 </w:t>
            </w:r>
            <w:r w:rsidRPr="00D91C9A">
              <w:t xml:space="preserve">року в області отримують пенсії </w:t>
            </w:r>
            <w:r w:rsidRPr="00D91C9A">
              <w:rPr>
                <w:bCs/>
              </w:rPr>
              <w:t xml:space="preserve">21267 </w:t>
            </w:r>
            <w:r w:rsidRPr="00D91C9A">
              <w:t xml:space="preserve"> військовослужбовців.</w:t>
            </w:r>
          </w:p>
          <w:p w:rsidR="00A156B8" w:rsidRPr="00D91C9A" w:rsidRDefault="00731BBC" w:rsidP="00731BBC">
            <w:pPr>
              <w:ind w:firstLine="709"/>
              <w:jc w:val="both"/>
              <w:rPr>
                <w:rStyle w:val="aff6"/>
                <w:bCs/>
                <w:i w:val="0"/>
                <w:iCs w:val="0"/>
              </w:rPr>
            </w:pPr>
            <w:r w:rsidRPr="00D91C9A">
              <w:t xml:space="preserve">На 01.01.2016 року середній розмір пенсії військовослужбовця складав </w:t>
            </w:r>
            <w:r w:rsidRPr="00D91C9A">
              <w:rPr>
                <w:bCs/>
              </w:rPr>
              <w:t>2511 грн. 95</w:t>
            </w:r>
            <w:r w:rsidRPr="00D91C9A">
              <w:t xml:space="preserve"> коп. і зріс, у порівнянні з його рівнем станом на </w:t>
            </w:r>
            <w:r w:rsidRPr="00D91C9A">
              <w:rPr>
                <w:bCs/>
              </w:rPr>
              <w:t>01.01.2015</w:t>
            </w:r>
            <w:r w:rsidRPr="00D91C9A">
              <w:t xml:space="preserve"> року </w:t>
            </w:r>
            <w:r w:rsidRPr="00D91C9A">
              <w:rPr>
                <w:bCs/>
              </w:rPr>
              <w:t>(2481 грн. 81 коп.) на 1,21%, або на 30 грн.14 коп.</w:t>
            </w:r>
          </w:p>
        </w:tc>
      </w:tr>
      <w:tr w:rsidR="00A156B8" w:rsidRPr="00D91C9A" w:rsidTr="00251ED5">
        <w:trPr>
          <w:trHeight w:val="430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156B8" w:rsidRPr="00D91C9A" w:rsidRDefault="00A156B8" w:rsidP="00CB796B">
            <w:pPr>
              <w:snapToGrid w:val="0"/>
              <w:rPr>
                <w:b/>
                <w:i/>
              </w:rPr>
            </w:pPr>
            <w:r w:rsidRPr="00D91C9A">
              <w:rPr>
                <w:b/>
                <w:i/>
              </w:rPr>
              <w:t>Заборгованість до Пенсійного фонду України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731BBC" w:rsidRPr="00D91C9A" w:rsidRDefault="00731BBC" w:rsidP="00731BBC">
            <w:pPr>
              <w:spacing w:line="252" w:lineRule="auto"/>
              <w:ind w:firstLine="709"/>
              <w:jc w:val="both"/>
              <w:rPr>
                <w:sz w:val="28"/>
                <w:szCs w:val="28"/>
              </w:rPr>
            </w:pPr>
            <w:r w:rsidRPr="00D91C9A">
              <w:t xml:space="preserve">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01.03.2016 року в порівнянні із 01.01.2016 року скоротилася на 2399,7 тис. грн. або 4,5% та складає 50640,4 тис. грн., з них: борг зі сплати страхових внесках – 29611,4 тис. грн., борг з відшкодування пільгових, наукових пенсіях та </w:t>
            </w:r>
            <w:proofErr w:type="spellStart"/>
            <w:r w:rsidRPr="00D91C9A">
              <w:t>регресних</w:t>
            </w:r>
            <w:proofErr w:type="spellEnd"/>
            <w:r w:rsidRPr="00D91C9A">
              <w:t xml:space="preserve"> вимогах – 21029,0 тис. грн.</w:t>
            </w:r>
          </w:p>
          <w:p w:rsidR="00731BBC" w:rsidRPr="00D91C9A" w:rsidRDefault="00731BBC" w:rsidP="00731BBC">
            <w:pPr>
              <w:spacing w:line="252" w:lineRule="auto"/>
              <w:ind w:firstLine="709"/>
              <w:jc w:val="both"/>
            </w:pPr>
            <w:r w:rsidRPr="00D91C9A">
              <w:rPr>
                <w:b/>
              </w:rPr>
              <w:t xml:space="preserve">Скоротили </w:t>
            </w:r>
            <w:r w:rsidRPr="00D91C9A">
              <w:t xml:space="preserve">заборгованість до бюджету Фонду протягом січня-лютого 2016 року по </w:t>
            </w:r>
            <w:r w:rsidRPr="00D91C9A">
              <w:rPr>
                <w:b/>
              </w:rPr>
              <w:t xml:space="preserve">страхових внесках </w:t>
            </w:r>
            <w:r w:rsidRPr="00D91C9A">
              <w:t>на суму</w:t>
            </w:r>
            <w:r w:rsidRPr="00D91C9A">
              <w:rPr>
                <w:b/>
              </w:rPr>
              <w:t xml:space="preserve"> 1737,2 тис. грн. </w:t>
            </w:r>
            <w:r w:rsidRPr="00D91C9A">
              <w:t xml:space="preserve">Серед районів найбільше: - </w:t>
            </w:r>
            <w:proofErr w:type="spellStart"/>
            <w:r w:rsidRPr="00D91C9A">
              <w:t>Літинському</w:t>
            </w:r>
            <w:proofErr w:type="spellEnd"/>
            <w:r w:rsidRPr="00D91C9A">
              <w:t xml:space="preserve"> (на 648,4 тис. грн. і залишилась сума боргу 366,7 тис. грн.), </w:t>
            </w:r>
            <w:proofErr w:type="spellStart"/>
            <w:r w:rsidRPr="00D91C9A">
              <w:t>м.Ладижині</w:t>
            </w:r>
            <w:proofErr w:type="spellEnd"/>
            <w:r w:rsidRPr="00D91C9A">
              <w:t xml:space="preserve"> (на 501,3 тис. грн. і залишилась сума боргу 2944,1 тис. грн.),  Бершадському (на 410,8 тис. грн. і залишилась сума боргу 893,4 тис. грн.), Хмільницькому(на 158,2 тис. грн. і залишилась сума боргу 138,7 тис. грн.), </w:t>
            </w:r>
            <w:proofErr w:type="spellStart"/>
            <w:r w:rsidRPr="00D91C9A">
              <w:t>м.Вінниці</w:t>
            </w:r>
            <w:proofErr w:type="spellEnd"/>
            <w:r w:rsidRPr="00D91C9A">
              <w:t xml:space="preserve"> (на 6,7 тис. грн. і залишилась сума боргу 13105,9 тис. грн.).</w:t>
            </w:r>
          </w:p>
          <w:p w:rsidR="00731BBC" w:rsidRPr="00D91C9A" w:rsidRDefault="00731BBC" w:rsidP="00731BBC">
            <w:pPr>
              <w:spacing w:line="252" w:lineRule="auto"/>
              <w:ind w:firstLine="709"/>
              <w:jc w:val="both"/>
            </w:pPr>
            <w:r w:rsidRPr="00D91C9A">
              <w:t xml:space="preserve"> В </w:t>
            </w:r>
            <w:proofErr w:type="spellStart"/>
            <w:r w:rsidRPr="00D91C9A">
              <w:t>Іллінецькому</w:t>
            </w:r>
            <w:proofErr w:type="spellEnd"/>
            <w:r w:rsidRPr="00D91C9A">
              <w:t xml:space="preserve">, Чернівецькому та </w:t>
            </w:r>
            <w:proofErr w:type="spellStart"/>
            <w:r w:rsidRPr="00D91C9A">
              <w:t>Погребищенському</w:t>
            </w:r>
            <w:proofErr w:type="spellEnd"/>
            <w:r w:rsidRPr="00D91C9A">
              <w:t xml:space="preserve"> районах борг по страхових внесках відсутній.</w:t>
            </w:r>
          </w:p>
          <w:p w:rsidR="00731BBC" w:rsidRPr="00D91C9A" w:rsidRDefault="00731BBC" w:rsidP="00731BBC">
            <w:pPr>
              <w:spacing w:line="252" w:lineRule="auto"/>
              <w:ind w:firstLine="709"/>
              <w:jc w:val="both"/>
            </w:pPr>
            <w:r w:rsidRPr="00D91C9A">
              <w:t>Борг по відшкодуванню витрат на виплату та доставку пільгових пенсій з початку 2016 року скоротилася на 634,6 тис. грн. та станом на 01.03.2016 року становить 20,9 млн. грн.</w:t>
            </w:r>
          </w:p>
          <w:p w:rsidR="0026256E" w:rsidRPr="00D91C9A" w:rsidRDefault="00731BBC" w:rsidP="00731BBC">
            <w:pPr>
              <w:suppressAutoHyphens/>
              <w:spacing w:line="252" w:lineRule="auto"/>
              <w:ind w:firstLine="709"/>
              <w:jc w:val="both"/>
            </w:pPr>
            <w:r w:rsidRPr="00D91C9A">
              <w:t xml:space="preserve">Найбільше скорочення боргу по пільгових пенсіях відбулося по управлінню в </w:t>
            </w:r>
            <w:proofErr w:type="spellStart"/>
            <w:r w:rsidRPr="00D91C9A">
              <w:t>Шаргородському</w:t>
            </w:r>
            <w:proofErr w:type="spellEnd"/>
            <w:r w:rsidRPr="00D91C9A">
              <w:t xml:space="preserve"> районі (на 207,5 тис. грн. та становить 491,5 тис. грн.), по управлінню в Чернівецькому районі (на 159,6 тис. грн. та становить 1,6 тис. грн.), по управлінню в </w:t>
            </w:r>
            <w:proofErr w:type="spellStart"/>
            <w:r w:rsidRPr="00D91C9A">
              <w:t>Липовецькому</w:t>
            </w:r>
            <w:proofErr w:type="spellEnd"/>
            <w:r w:rsidRPr="00D91C9A">
              <w:t xml:space="preserve"> районі (на 126,2 тис. грн. та становить 1252,5 тис. грн.), по управлінню в </w:t>
            </w:r>
            <w:proofErr w:type="spellStart"/>
            <w:r w:rsidRPr="00D91C9A">
              <w:t>Теплицькому</w:t>
            </w:r>
            <w:proofErr w:type="spellEnd"/>
            <w:r w:rsidRPr="00D91C9A">
              <w:t xml:space="preserve"> районі (на 124,9 тис. грн. та становить 287,8 тис. грн.), по управлінню в Бершадському районі (на 108,7 тис. грн. та становить 344,8 тис. грн.). Водночас, зросла заборгованість з відшкодування пільгових пенсій в </w:t>
            </w:r>
            <w:proofErr w:type="spellStart"/>
            <w:r w:rsidRPr="00D91C9A">
              <w:t>м.Вінниці</w:t>
            </w:r>
            <w:proofErr w:type="spellEnd"/>
            <w:r w:rsidRPr="00D91C9A">
              <w:t xml:space="preserve"> (на 252,8 тис. грн. і залишилась сума боргу 11671,4 тис. грн.), </w:t>
            </w:r>
            <w:proofErr w:type="spellStart"/>
            <w:r w:rsidRPr="00D91C9A">
              <w:t>м.Ладижині</w:t>
            </w:r>
            <w:proofErr w:type="spellEnd"/>
            <w:r w:rsidRPr="00D91C9A">
              <w:t xml:space="preserve"> (на 62,0 тис. грн. і залишилась сума боргу 1266,1 тис. грн.).</w:t>
            </w:r>
          </w:p>
        </w:tc>
      </w:tr>
      <w:tr w:rsidR="00BA11DE" w:rsidRPr="00D91C9A" w:rsidTr="00251ED5">
        <w:trPr>
          <w:trHeight w:val="210"/>
        </w:trPr>
        <w:tc>
          <w:tcPr>
            <w:tcW w:w="1063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A11DE" w:rsidRPr="00D91C9A" w:rsidRDefault="00BA11DE" w:rsidP="00CB796B">
            <w:pPr>
              <w:pStyle w:val="310"/>
              <w:tabs>
                <w:tab w:val="left" w:pos="3960"/>
                <w:tab w:val="left" w:pos="4005"/>
                <w:tab w:val="center" w:pos="5218"/>
              </w:tabs>
              <w:snapToGrid w:val="0"/>
              <w:ind w:firstLine="459"/>
              <w:jc w:val="left"/>
              <w:rPr>
                <w:rFonts w:cs="Times New Roman"/>
                <w:b/>
                <w:sz w:val="24"/>
              </w:rPr>
            </w:pPr>
          </w:p>
          <w:p w:rsidR="00BA11DE" w:rsidRPr="00D91C9A" w:rsidRDefault="00BA11DE" w:rsidP="00CB796B">
            <w:pPr>
              <w:pStyle w:val="310"/>
              <w:snapToGrid w:val="0"/>
              <w:ind w:firstLine="459"/>
              <w:jc w:val="center"/>
              <w:rPr>
                <w:rFonts w:cs="Times New Roman"/>
                <w:b/>
                <w:sz w:val="24"/>
                <w:lang w:val="en-US"/>
              </w:rPr>
            </w:pPr>
            <w:r w:rsidRPr="00D91C9A">
              <w:rPr>
                <w:rFonts w:cs="Times New Roman"/>
                <w:b/>
                <w:sz w:val="24"/>
              </w:rPr>
              <w:t>ЗАРОБІТНА ПЛАТА</w:t>
            </w:r>
          </w:p>
        </w:tc>
      </w:tr>
      <w:tr w:rsidR="00A156B8" w:rsidRPr="00D91C9A" w:rsidTr="00251ED5">
        <w:trPr>
          <w:trHeight w:val="78"/>
        </w:trPr>
        <w:tc>
          <w:tcPr>
            <w:tcW w:w="1702" w:type="dxa"/>
            <w:shd w:val="clear" w:color="auto" w:fill="auto"/>
          </w:tcPr>
          <w:p w:rsidR="00A156B8" w:rsidRPr="00D91C9A" w:rsidRDefault="00A156B8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D91C9A">
              <w:rPr>
                <w:rFonts w:cs="Times New Roman"/>
                <w:b/>
                <w:i/>
                <w:sz w:val="24"/>
              </w:rPr>
              <w:lastRenderedPageBreak/>
              <w:t>Рівень середньомісячної заробітної плати</w:t>
            </w:r>
          </w:p>
        </w:tc>
        <w:tc>
          <w:tcPr>
            <w:tcW w:w="8930" w:type="dxa"/>
            <w:shd w:val="clear" w:color="auto" w:fill="auto"/>
          </w:tcPr>
          <w:p w:rsidR="00731BBC" w:rsidRPr="00D91C9A" w:rsidRDefault="00731BBC" w:rsidP="00731BBC">
            <w:pPr>
              <w:pStyle w:val="310"/>
              <w:snapToGrid w:val="0"/>
              <w:ind w:firstLine="709"/>
              <w:rPr>
                <w:sz w:val="24"/>
              </w:rPr>
            </w:pPr>
            <w:r w:rsidRPr="00D91C9A">
              <w:rPr>
                <w:sz w:val="24"/>
              </w:rPr>
              <w:t xml:space="preserve">У 2016 році продовжується позитивна тенденція щодо зростання  темпів приросту заробітної плати як у області, так і по Україні в цілому. В той же час, у Вінницькій області ріст рівня заробітної плати випереджає </w:t>
            </w:r>
            <w:proofErr w:type="spellStart"/>
            <w:r w:rsidRPr="00D91C9A">
              <w:rPr>
                <w:sz w:val="24"/>
              </w:rPr>
              <w:t>середньоукраїнський</w:t>
            </w:r>
            <w:proofErr w:type="spellEnd"/>
            <w:r w:rsidRPr="00D91C9A">
              <w:rPr>
                <w:sz w:val="24"/>
              </w:rPr>
              <w:t xml:space="preserve"> (як номінальної середньомісячної заробітної плати, так і реальної, скоригованої на індекс споживчих цін).</w:t>
            </w:r>
          </w:p>
          <w:p w:rsidR="00731BBC" w:rsidRPr="00D91C9A" w:rsidRDefault="00731BBC" w:rsidP="00731BBC">
            <w:pPr>
              <w:pStyle w:val="310"/>
              <w:snapToGrid w:val="0"/>
              <w:ind w:firstLine="709"/>
              <w:rPr>
                <w:i/>
                <w:sz w:val="24"/>
              </w:rPr>
            </w:pPr>
            <w:r w:rsidRPr="00D91C9A">
              <w:rPr>
                <w:sz w:val="24"/>
              </w:rPr>
              <w:t>Відповідно до даних Головного управління статистики у Вінницькій області приріст середньомісячної заробітної плати за січень-лютий 2016 року складає 26,7% (</w:t>
            </w:r>
            <w:r w:rsidRPr="00D91C9A">
              <w:rPr>
                <w:i/>
                <w:sz w:val="24"/>
              </w:rPr>
              <w:t>ріст на 16,8 відсоткові пункти</w:t>
            </w:r>
            <w:r w:rsidRPr="00D91C9A">
              <w:rPr>
                <w:sz w:val="24"/>
              </w:rPr>
              <w:t>), тоді як у відповідному періоді 2015 року він становив 9,9%</w:t>
            </w:r>
            <w:r w:rsidRPr="00D91C9A">
              <w:rPr>
                <w:i/>
                <w:sz w:val="24"/>
              </w:rPr>
              <w:t xml:space="preserve">. </w:t>
            </w:r>
            <w:r w:rsidRPr="00D91C9A">
              <w:rPr>
                <w:sz w:val="24"/>
              </w:rPr>
              <w:t>По</w:t>
            </w:r>
            <w:r w:rsidRPr="00D91C9A">
              <w:rPr>
                <w:i/>
                <w:sz w:val="24"/>
              </w:rPr>
              <w:t xml:space="preserve"> </w:t>
            </w:r>
            <w:r w:rsidRPr="00D91C9A">
              <w:rPr>
                <w:sz w:val="24"/>
              </w:rPr>
              <w:t xml:space="preserve">Україні відповідно приріст складає – 26,3%, і зріс на 15,4 </w:t>
            </w:r>
            <w:proofErr w:type="spellStart"/>
            <w:r w:rsidRPr="00D91C9A">
              <w:rPr>
                <w:sz w:val="24"/>
              </w:rPr>
              <w:t>в.п</w:t>
            </w:r>
            <w:proofErr w:type="spellEnd"/>
            <w:r w:rsidRPr="00D91C9A">
              <w:rPr>
                <w:sz w:val="24"/>
              </w:rPr>
              <w:t>.</w:t>
            </w:r>
            <w:r w:rsidRPr="00D91C9A">
              <w:rPr>
                <w:i/>
                <w:sz w:val="24"/>
              </w:rPr>
              <w:t xml:space="preserve"> </w:t>
            </w:r>
          </w:p>
          <w:p w:rsidR="00731BBC" w:rsidRPr="00D91C9A" w:rsidRDefault="00731BBC" w:rsidP="00731BBC">
            <w:pPr>
              <w:pStyle w:val="310"/>
              <w:snapToGrid w:val="0"/>
              <w:ind w:firstLine="709"/>
              <w:rPr>
                <w:sz w:val="24"/>
              </w:rPr>
            </w:pPr>
            <w:r w:rsidRPr="00D91C9A">
              <w:rPr>
                <w:sz w:val="24"/>
              </w:rPr>
              <w:t xml:space="preserve">Номінальна середньомісячна заробітна плата за січень-лютий 2016 року до відповідного періоду 2015 року зросла на 741,07 грн. і становить </w:t>
            </w:r>
            <w:r w:rsidRPr="00D91C9A">
              <w:rPr>
                <w:bCs/>
                <w:sz w:val="24"/>
              </w:rPr>
              <w:t>3511,73</w:t>
            </w:r>
            <w:r w:rsidRPr="00D91C9A">
              <w:rPr>
                <w:b/>
                <w:bCs/>
                <w:sz w:val="24"/>
              </w:rPr>
              <w:t xml:space="preserve"> </w:t>
            </w:r>
            <w:r w:rsidRPr="00D91C9A">
              <w:rPr>
                <w:sz w:val="24"/>
              </w:rPr>
              <w:t>грн. За рівнем середньомісячної заробітної плати область займає 16 місце серед регіонів України, а з</w:t>
            </w:r>
            <w:r w:rsidRPr="00D91C9A">
              <w:rPr>
                <w:iCs/>
                <w:sz w:val="24"/>
              </w:rPr>
              <w:t xml:space="preserve">а темпами росту середньомісячної заробітної плати </w:t>
            </w:r>
            <w:r w:rsidRPr="00D91C9A">
              <w:rPr>
                <w:sz w:val="24"/>
              </w:rPr>
              <w:t>область займає відповідно 10 місце.</w:t>
            </w:r>
            <w:r w:rsidRPr="00D91C9A">
              <w:rPr>
                <w:bCs/>
                <w:sz w:val="24"/>
              </w:rPr>
              <w:t xml:space="preserve"> </w:t>
            </w:r>
          </w:p>
          <w:p w:rsidR="00731BBC" w:rsidRPr="00D91C9A" w:rsidRDefault="00731BBC" w:rsidP="00731BBC">
            <w:pPr>
              <w:pStyle w:val="310"/>
              <w:ind w:firstLine="709"/>
              <w:rPr>
                <w:sz w:val="24"/>
              </w:rPr>
            </w:pPr>
            <w:r w:rsidRPr="00D91C9A">
              <w:rPr>
                <w:sz w:val="24"/>
              </w:rPr>
              <w:t xml:space="preserve">Індекс реальної  заробітної плати  по області за січень-лютий 2016 року в порівнянні з відповідним періодом 2015 року зріс на 7,8 </w:t>
            </w:r>
            <w:proofErr w:type="spellStart"/>
            <w:r w:rsidRPr="00D91C9A">
              <w:rPr>
                <w:sz w:val="24"/>
              </w:rPr>
              <w:t>в.п</w:t>
            </w:r>
            <w:proofErr w:type="spellEnd"/>
            <w:r w:rsidRPr="00D91C9A">
              <w:rPr>
                <w:sz w:val="24"/>
              </w:rPr>
              <w:t>. і складає 91,4% (</w:t>
            </w:r>
            <w:r w:rsidRPr="00D91C9A">
              <w:rPr>
                <w:i/>
                <w:sz w:val="24"/>
              </w:rPr>
              <w:t xml:space="preserve">по Україні зріс на 6,9 </w:t>
            </w:r>
            <w:proofErr w:type="spellStart"/>
            <w:r w:rsidRPr="00D91C9A">
              <w:rPr>
                <w:i/>
                <w:sz w:val="24"/>
              </w:rPr>
              <w:t>в.п</w:t>
            </w:r>
            <w:proofErr w:type="spellEnd"/>
            <w:r w:rsidRPr="00D91C9A">
              <w:rPr>
                <w:i/>
                <w:sz w:val="24"/>
              </w:rPr>
              <w:t>. і склав 89,2%</w:t>
            </w:r>
            <w:r w:rsidRPr="00D91C9A">
              <w:rPr>
                <w:sz w:val="24"/>
              </w:rPr>
              <w:t xml:space="preserve">). За індексом реальної нарахованої заробітної плати за звітний період </w:t>
            </w:r>
            <w:r w:rsidRPr="00D91C9A">
              <w:rPr>
                <w:iCs/>
                <w:sz w:val="24"/>
              </w:rPr>
              <w:t xml:space="preserve">область посідає 4 місце </w:t>
            </w:r>
            <w:r w:rsidRPr="00D91C9A">
              <w:rPr>
                <w:sz w:val="24"/>
              </w:rPr>
              <w:t>в рейтингу регіонів України.</w:t>
            </w:r>
          </w:p>
          <w:p w:rsidR="00731BBC" w:rsidRPr="00D91C9A" w:rsidRDefault="00731BBC" w:rsidP="00731BBC">
            <w:pPr>
              <w:pStyle w:val="310"/>
              <w:ind w:firstLine="709"/>
              <w:rPr>
                <w:sz w:val="24"/>
              </w:rPr>
            </w:pPr>
            <w:r w:rsidRPr="00D91C9A">
              <w:rPr>
                <w:sz w:val="24"/>
              </w:rPr>
              <w:t xml:space="preserve">Середньомісячна заробітна плата по області у лютому 2016 року зросла   на 28,1%, або на 794,29 грн. і  склала </w:t>
            </w:r>
            <w:r w:rsidRPr="00D91C9A">
              <w:rPr>
                <w:bCs/>
                <w:sz w:val="24"/>
              </w:rPr>
              <w:t xml:space="preserve">3619,18 </w:t>
            </w:r>
            <w:r w:rsidRPr="00D91C9A">
              <w:rPr>
                <w:sz w:val="24"/>
              </w:rPr>
              <w:t xml:space="preserve">грн. </w:t>
            </w:r>
            <w:r w:rsidRPr="00D91C9A">
              <w:rPr>
                <w:i/>
                <w:sz w:val="24"/>
              </w:rPr>
              <w:t>(у 2,6 рази більша від встановленого по Україні прожиткового мінімуму для працездатних осіб - 1378 грн.).</w:t>
            </w:r>
            <w:r w:rsidRPr="00D91C9A">
              <w:rPr>
                <w:sz w:val="24"/>
              </w:rPr>
              <w:t xml:space="preserve"> Індекс реальної  заробітної плати  по області за  лютий 2015 року в порівнянні з відповідним періодом 2014 року зріс на 12,1 </w:t>
            </w:r>
            <w:proofErr w:type="spellStart"/>
            <w:r w:rsidRPr="00D91C9A">
              <w:rPr>
                <w:sz w:val="24"/>
              </w:rPr>
              <w:t>в.п</w:t>
            </w:r>
            <w:proofErr w:type="spellEnd"/>
            <w:r w:rsidRPr="00D91C9A">
              <w:rPr>
                <w:sz w:val="24"/>
              </w:rPr>
              <w:t>. і складає 95% (</w:t>
            </w:r>
            <w:r w:rsidRPr="00D91C9A">
              <w:rPr>
                <w:i/>
                <w:sz w:val="24"/>
              </w:rPr>
              <w:t xml:space="preserve">по Україні зріс на 9,9 </w:t>
            </w:r>
            <w:proofErr w:type="spellStart"/>
            <w:r w:rsidRPr="00D91C9A">
              <w:rPr>
                <w:i/>
                <w:sz w:val="24"/>
              </w:rPr>
              <w:t>в.п</w:t>
            </w:r>
            <w:proofErr w:type="spellEnd"/>
            <w:r w:rsidRPr="00D91C9A">
              <w:rPr>
                <w:i/>
                <w:sz w:val="24"/>
              </w:rPr>
              <w:t>. і склав 91,7%</w:t>
            </w:r>
            <w:r w:rsidRPr="00D91C9A">
              <w:rPr>
                <w:sz w:val="24"/>
              </w:rPr>
              <w:t xml:space="preserve">). За індексом реальної нарахованої заробітної плати за   лютий </w:t>
            </w:r>
            <w:r w:rsidRPr="00D91C9A">
              <w:rPr>
                <w:iCs/>
                <w:sz w:val="24"/>
              </w:rPr>
              <w:t xml:space="preserve">область посідає 4 місце </w:t>
            </w:r>
            <w:r w:rsidRPr="00D91C9A">
              <w:rPr>
                <w:sz w:val="24"/>
              </w:rPr>
              <w:t>в рейтингу регіонів України.</w:t>
            </w:r>
          </w:p>
          <w:p w:rsidR="00731BBC" w:rsidRPr="00D91C9A" w:rsidRDefault="00731BBC" w:rsidP="00731BBC">
            <w:pPr>
              <w:pStyle w:val="310"/>
              <w:ind w:firstLine="709"/>
              <w:rPr>
                <w:sz w:val="24"/>
              </w:rPr>
            </w:pPr>
          </w:p>
          <w:p w:rsidR="00731BBC" w:rsidRPr="00D91C9A" w:rsidRDefault="00731BBC" w:rsidP="00731BBC">
            <w:pPr>
              <w:ind w:firstLine="709"/>
              <w:jc w:val="both"/>
              <w:rPr>
                <w:bCs/>
                <w:i/>
              </w:rPr>
            </w:pPr>
            <w:r w:rsidRPr="00D91C9A">
              <w:rPr>
                <w:bCs/>
              </w:rPr>
              <w:t xml:space="preserve">В області можна відмітити значний рівень диференціації заробітної плати, коефіцієнт якої між найвищим та найнижчим рівнем оплати праці за основними видами діяльності у січні - лютому 2016 року  складає 3,5 (найвищий рівень середньомісячної зарплати </w:t>
            </w:r>
            <w:r w:rsidRPr="00D91C9A">
              <w:t xml:space="preserve">у </w:t>
            </w:r>
            <w:r w:rsidRPr="00D91C9A">
              <w:rPr>
                <w:bCs/>
              </w:rPr>
              <w:t>сфері</w:t>
            </w:r>
            <w:r w:rsidRPr="00D91C9A">
              <w:rPr>
                <w:bCs/>
                <w:u w:val="single"/>
              </w:rPr>
              <w:t xml:space="preserve"> інформації та телекомунікацій </w:t>
            </w:r>
            <w:r w:rsidRPr="00D91C9A">
              <w:t>– 6450,35 грн.</w:t>
            </w:r>
            <w:r w:rsidRPr="00D91C9A">
              <w:rPr>
                <w:i/>
              </w:rPr>
              <w:t xml:space="preserve"> (в порівнянні з відповідним періодом минулого року зарплата зросла на 35,6%, або на 1694,94 грн., у 1,8 рази більше середнього рівня по економіці</w:t>
            </w:r>
            <w:r w:rsidRPr="00D91C9A">
              <w:t>)</w:t>
            </w:r>
            <w:r w:rsidRPr="00D91C9A">
              <w:rPr>
                <w:bCs/>
                <w:i/>
              </w:rPr>
              <w:t xml:space="preserve">, </w:t>
            </w:r>
            <w:r w:rsidRPr="00D91C9A">
              <w:rPr>
                <w:bCs/>
              </w:rPr>
              <w:t xml:space="preserve">найнижчий - у сфері </w:t>
            </w:r>
            <w:r w:rsidRPr="00D91C9A">
              <w:rPr>
                <w:bCs/>
                <w:u w:val="single"/>
              </w:rPr>
              <w:t>поштової та кур’єрської діяльності</w:t>
            </w:r>
            <w:r w:rsidRPr="00D91C9A">
              <w:rPr>
                <w:bCs/>
              </w:rPr>
              <w:t xml:space="preserve"> – 1839,13 грн.</w:t>
            </w:r>
            <w:r w:rsidRPr="00D91C9A">
              <w:rPr>
                <w:i/>
              </w:rPr>
              <w:t xml:space="preserve"> (в порівнянні з відповідним періодом минулого року зарплата зросла на 25,7%, або на 375,88  грн.,   на 47,6 %  менше середнього рівня по економіці</w:t>
            </w:r>
            <w:r w:rsidRPr="00D91C9A">
              <w:t>)</w:t>
            </w:r>
            <w:r w:rsidRPr="00D91C9A">
              <w:rPr>
                <w:bCs/>
                <w:i/>
              </w:rPr>
              <w:t>.</w:t>
            </w:r>
          </w:p>
          <w:p w:rsidR="00731BBC" w:rsidRPr="00D91C9A" w:rsidRDefault="00731BBC" w:rsidP="00731BBC">
            <w:pPr>
              <w:ind w:firstLine="709"/>
              <w:jc w:val="both"/>
              <w:rPr>
                <w:i/>
                <w:color w:val="FF0000"/>
              </w:rPr>
            </w:pPr>
            <w:r w:rsidRPr="00D91C9A">
              <w:t xml:space="preserve">В розрізі видів діяльності, крім зазначеного </w:t>
            </w:r>
            <w:r w:rsidRPr="00D91C9A">
              <w:rPr>
                <w:bCs/>
              </w:rPr>
              <w:t xml:space="preserve">найвищий рівень </w:t>
            </w:r>
            <w:r w:rsidRPr="00D91C9A">
              <w:t xml:space="preserve">середньомісячної заробітної плати в області за січень-лютий 2016 року досягнуто у працівників, які зайняті у </w:t>
            </w:r>
            <w:r w:rsidRPr="00D91C9A">
              <w:rPr>
                <w:bCs/>
              </w:rPr>
              <w:t>сфері</w:t>
            </w:r>
            <w:r w:rsidRPr="00D91C9A">
              <w:rPr>
                <w:bCs/>
                <w:i/>
              </w:rPr>
              <w:t xml:space="preserve"> </w:t>
            </w:r>
            <w:r w:rsidRPr="00D91C9A">
              <w:rPr>
                <w:i/>
                <w:lang w:eastAsia="uk-UA"/>
              </w:rPr>
              <w:t xml:space="preserve">  </w:t>
            </w:r>
            <w:r w:rsidRPr="00D91C9A">
              <w:rPr>
                <w:u w:val="single"/>
                <w:lang w:eastAsia="uk-UA"/>
              </w:rPr>
              <w:t>фінансової та страхової діяльності</w:t>
            </w:r>
            <w:r w:rsidRPr="00D91C9A">
              <w:rPr>
                <w:bCs/>
                <w:i/>
              </w:rPr>
              <w:t xml:space="preserve"> – </w:t>
            </w:r>
            <w:r w:rsidRPr="00D91C9A">
              <w:rPr>
                <w:bCs/>
              </w:rPr>
              <w:t xml:space="preserve">5218,66 </w:t>
            </w:r>
            <w:r w:rsidRPr="00D91C9A">
              <w:t xml:space="preserve">грн. </w:t>
            </w:r>
            <w:r w:rsidRPr="00D91C9A">
              <w:rPr>
                <w:i/>
              </w:rPr>
              <w:t>(в порівнянні з відповідним періодом минулого року зросла на 15,2 %, або на 687,72 грн. на 48,6 %  перевищує середній рівень по економіці</w:t>
            </w:r>
            <w:bookmarkStart w:id="0" w:name="_GoBack"/>
            <w:r w:rsidRPr="00B94F7B">
              <w:rPr>
                <w:i/>
              </w:rPr>
              <w:t>)</w:t>
            </w:r>
            <w:r w:rsidRPr="00B94F7B">
              <w:t>,</w:t>
            </w:r>
            <w:r w:rsidRPr="00B94F7B">
              <w:rPr>
                <w:i/>
              </w:rPr>
              <w:t xml:space="preserve"> </w:t>
            </w:r>
            <w:r w:rsidRPr="00B94F7B">
              <w:t>в галузі</w:t>
            </w:r>
            <w:r w:rsidRPr="00B94F7B">
              <w:rPr>
                <w:u w:val="single"/>
              </w:rPr>
              <w:t xml:space="preserve"> промисловості</w:t>
            </w:r>
            <w:r w:rsidRPr="00B94F7B">
              <w:t xml:space="preserve">, де середньомісячна заробітна плата становить – </w:t>
            </w:r>
            <w:r w:rsidRPr="00B94F7B">
              <w:rPr>
                <w:bCs/>
              </w:rPr>
              <w:t xml:space="preserve">4670,54 </w:t>
            </w:r>
            <w:r w:rsidRPr="00B94F7B">
              <w:t xml:space="preserve">грн. </w:t>
            </w:r>
            <w:r w:rsidRPr="00B94F7B">
              <w:rPr>
                <w:i/>
              </w:rPr>
              <w:t>(зросла на 37,4%, або на 1272,06 грн., і на 33% перевищує середній рівень по економіці)</w:t>
            </w:r>
            <w:r w:rsidRPr="00B94F7B">
              <w:t xml:space="preserve"> тощо.</w:t>
            </w:r>
            <w:bookmarkEnd w:id="0"/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rPr>
                <w:bCs/>
              </w:rPr>
              <w:t>Між підвидами промисловості коефіцієнт диференціації оплати праці складає 4,6: н</w:t>
            </w:r>
            <w:r w:rsidRPr="00D91C9A">
              <w:t xml:space="preserve">айвищий рівень середньомісячної заробітної плати за січень-лютий 2016 року отримують працівники підприємств переробної промисловості, які займаються </w:t>
            </w:r>
            <w:r w:rsidRPr="00D91C9A">
              <w:rPr>
                <w:u w:val="single"/>
              </w:rPr>
              <w:t>виробництвом основних фармацевтичних продуктів і фармацевтичних препаратів</w:t>
            </w:r>
            <w:r w:rsidRPr="00D91C9A">
              <w:t xml:space="preserve"> – </w:t>
            </w:r>
            <w:r w:rsidRPr="00D91C9A">
              <w:rPr>
                <w:bCs/>
              </w:rPr>
              <w:t xml:space="preserve">11538,78 </w:t>
            </w:r>
            <w:r w:rsidRPr="00D91C9A">
              <w:t xml:space="preserve">грн. </w:t>
            </w:r>
            <w:r w:rsidRPr="00D91C9A">
              <w:rPr>
                <w:i/>
              </w:rPr>
              <w:t>(в порівнянні з відповідним періодом минулого року зарплата зросла в 1,6 рази, або на 4220,44 грн., у 3,3  рази перевищує середній рівень по економіці</w:t>
            </w:r>
            <w:r w:rsidRPr="00D91C9A">
              <w:t xml:space="preserve">), а найменший - </w:t>
            </w:r>
            <w:r w:rsidRPr="00D91C9A">
              <w:rPr>
                <w:u w:val="single"/>
              </w:rPr>
              <w:t>на підприємствах, що займаються виробництвом машин і устаткування, не віднесених до інших угрупувань</w:t>
            </w:r>
            <w:r w:rsidRPr="00D91C9A">
              <w:rPr>
                <w:i/>
              </w:rPr>
              <w:t xml:space="preserve"> – </w:t>
            </w:r>
            <w:r w:rsidRPr="00D91C9A">
              <w:rPr>
                <w:bCs/>
              </w:rPr>
              <w:t xml:space="preserve">2482,89 </w:t>
            </w:r>
            <w:r w:rsidRPr="00D91C9A">
              <w:t xml:space="preserve">грн. </w:t>
            </w:r>
            <w:r w:rsidRPr="00D91C9A">
              <w:rPr>
                <w:i/>
              </w:rPr>
              <w:t>(в порівнянні з відповідним періодом минулого року зарплата зросла на 23,7 %, або на 476,43  грн., проте на 29,3 % менше середнього рівня по економіці).</w:t>
            </w:r>
            <w:r w:rsidRPr="00D91C9A">
              <w:t xml:space="preserve"> </w:t>
            </w: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Серед промислових підприємств значний рівень середньомісячної заробітної плати за січень-лютий  2016 року на підприємствах: з </w:t>
            </w:r>
            <w:r w:rsidRPr="00D91C9A">
              <w:rPr>
                <w:u w:val="single"/>
              </w:rPr>
              <w:t xml:space="preserve">виробництва комп’ютерів, електронної та оптичної продукції </w:t>
            </w:r>
            <w:r w:rsidRPr="00D91C9A">
              <w:t xml:space="preserve">– </w:t>
            </w:r>
            <w:r w:rsidRPr="00D91C9A">
              <w:rPr>
                <w:bCs/>
              </w:rPr>
              <w:t xml:space="preserve">5964,87 </w:t>
            </w:r>
            <w:r w:rsidRPr="00D91C9A">
              <w:t xml:space="preserve">грн. </w:t>
            </w:r>
            <w:r w:rsidRPr="00D91C9A">
              <w:rPr>
                <w:i/>
              </w:rPr>
              <w:t xml:space="preserve">(ріст в 1,8 рази або на 2720,29 грн., в </w:t>
            </w:r>
            <w:r w:rsidRPr="00D91C9A">
              <w:rPr>
                <w:i/>
              </w:rPr>
              <w:lastRenderedPageBreak/>
              <w:t xml:space="preserve">1,7 рази  перевищує середній рівень по економіці області), </w:t>
            </w:r>
            <w:r w:rsidRPr="00D91C9A">
              <w:t xml:space="preserve">з </w:t>
            </w:r>
            <w:r w:rsidRPr="00D91C9A">
              <w:rPr>
                <w:u w:val="single"/>
              </w:rPr>
              <w:t>постачання електроенергії, газу, пари та кондиційованого повітря</w:t>
            </w:r>
            <w:r w:rsidRPr="00D91C9A">
              <w:t xml:space="preserve"> – </w:t>
            </w:r>
            <w:r w:rsidRPr="00D91C9A">
              <w:rPr>
                <w:bCs/>
              </w:rPr>
              <w:t xml:space="preserve">5893,68 </w:t>
            </w:r>
            <w:r w:rsidRPr="00D91C9A">
              <w:t xml:space="preserve">грн. </w:t>
            </w:r>
            <w:r w:rsidRPr="00D91C9A">
              <w:rPr>
                <w:i/>
              </w:rPr>
              <w:t xml:space="preserve">(ріст на 36,6  %, або на 1578,94  грн., в 1,7 рази перевищує середній рівень по економіці), </w:t>
            </w:r>
            <w:r w:rsidRPr="00D91C9A">
              <w:t>з</w:t>
            </w:r>
            <w:r w:rsidRPr="00D91C9A">
              <w:rPr>
                <w:u w:val="single"/>
              </w:rPr>
              <w:t xml:space="preserve"> виробництва харчових продуктів, напоїв та тютюнових виробів</w:t>
            </w:r>
            <w:r w:rsidRPr="00D91C9A">
              <w:t xml:space="preserve"> середньомісячна зарплата склала – </w:t>
            </w:r>
            <w:r w:rsidRPr="00D91C9A">
              <w:rPr>
                <w:bCs/>
              </w:rPr>
              <w:t xml:space="preserve">5166,97 </w:t>
            </w:r>
            <w:r w:rsidRPr="00D91C9A">
              <w:t xml:space="preserve">грн. </w:t>
            </w:r>
            <w:r w:rsidRPr="00D91C9A">
              <w:rPr>
                <w:i/>
              </w:rPr>
              <w:t>(ріст на 39,7 %, або на 1467,93 грн., на 47,1 %  перевищує середній рівень по економіці</w:t>
            </w:r>
            <w:r w:rsidRPr="00D91C9A">
              <w:t>), з</w:t>
            </w:r>
            <w:r w:rsidRPr="00D91C9A">
              <w:rPr>
                <w:u w:val="single"/>
              </w:rPr>
              <w:t xml:space="preserve"> виробництва меблів, іншої продукції, ремонту і монтажу машин і устаткування</w:t>
            </w:r>
            <w:r w:rsidRPr="00D91C9A">
              <w:t xml:space="preserve"> середньомісячна зарплата склала – </w:t>
            </w:r>
            <w:r w:rsidRPr="00D91C9A">
              <w:rPr>
                <w:bCs/>
              </w:rPr>
              <w:t xml:space="preserve">4647,84 </w:t>
            </w:r>
            <w:r w:rsidRPr="00D91C9A">
              <w:t xml:space="preserve">грн. </w:t>
            </w:r>
            <w:r w:rsidRPr="00D91C9A">
              <w:rPr>
                <w:i/>
              </w:rPr>
              <w:t>(ріст на 41,8 %, або на 1368,95 грн., на 32,4 %  перевищує середній рівень по економіці</w:t>
            </w:r>
            <w:r w:rsidRPr="00D91C9A">
              <w:t xml:space="preserve">). з </w:t>
            </w:r>
            <w:r w:rsidRPr="00D91C9A">
              <w:rPr>
                <w:u w:val="single"/>
              </w:rPr>
              <w:t>виробництва хімічних речовин і хімічної продукції</w:t>
            </w:r>
            <w:r w:rsidRPr="00D91C9A">
              <w:t xml:space="preserve"> – </w:t>
            </w:r>
            <w:r w:rsidRPr="00D91C9A">
              <w:rPr>
                <w:bCs/>
              </w:rPr>
              <w:t xml:space="preserve">4394,11 </w:t>
            </w:r>
            <w:r w:rsidRPr="00D91C9A">
              <w:t xml:space="preserve">грн. </w:t>
            </w:r>
            <w:r w:rsidRPr="00D91C9A">
              <w:rPr>
                <w:i/>
              </w:rPr>
              <w:t>(скорочення  на 0,6 %, або на 25,59 грн., на 25,1%  більше  середнього рівня по економіці) тощо.</w:t>
            </w:r>
            <w:r w:rsidRPr="00D91C9A">
              <w:t xml:space="preserve"> </w:t>
            </w:r>
          </w:p>
          <w:p w:rsidR="00731BBC" w:rsidRPr="00D91C9A" w:rsidRDefault="00731BBC" w:rsidP="00731BBC">
            <w:pPr>
              <w:pStyle w:val="310"/>
              <w:ind w:firstLine="709"/>
              <w:rPr>
                <w:i/>
                <w:sz w:val="24"/>
              </w:rPr>
            </w:pPr>
            <w:r w:rsidRPr="00D91C9A">
              <w:rPr>
                <w:sz w:val="24"/>
              </w:rPr>
              <w:t xml:space="preserve">В галузі </w:t>
            </w:r>
            <w:r w:rsidRPr="00D91C9A">
              <w:rPr>
                <w:i/>
                <w:sz w:val="24"/>
                <w:u w:val="single"/>
              </w:rPr>
              <w:t xml:space="preserve">сільське господарство, лісове господарство та рибне господарство, </w:t>
            </w:r>
            <w:r w:rsidRPr="00D91C9A">
              <w:rPr>
                <w:sz w:val="24"/>
              </w:rPr>
              <w:t xml:space="preserve">де  середньомісячна заробітна плата працівників складає </w:t>
            </w:r>
            <w:r w:rsidRPr="00D91C9A">
              <w:rPr>
                <w:bCs/>
                <w:sz w:val="24"/>
              </w:rPr>
              <w:t xml:space="preserve">3238,48 </w:t>
            </w:r>
            <w:r w:rsidRPr="00D91C9A">
              <w:rPr>
                <w:sz w:val="24"/>
              </w:rPr>
              <w:t xml:space="preserve">грн., приріст рівня оплати праці випереджає </w:t>
            </w:r>
            <w:proofErr w:type="spellStart"/>
            <w:r w:rsidRPr="00D91C9A">
              <w:rPr>
                <w:sz w:val="24"/>
              </w:rPr>
              <w:t>середньообласний</w:t>
            </w:r>
            <w:proofErr w:type="spellEnd"/>
            <w:r w:rsidRPr="00D91C9A">
              <w:rPr>
                <w:sz w:val="24"/>
              </w:rPr>
              <w:t xml:space="preserve"> – зарплата зросла на 28,8%, або на 724,95  грн.</w:t>
            </w:r>
            <w:r w:rsidRPr="00D91C9A">
              <w:rPr>
                <w:i/>
                <w:sz w:val="24"/>
              </w:rPr>
              <w:t xml:space="preserve"> </w:t>
            </w:r>
            <w:r w:rsidRPr="00D91C9A">
              <w:rPr>
                <w:sz w:val="24"/>
              </w:rPr>
              <w:t xml:space="preserve">і на 2,1 </w:t>
            </w:r>
            <w:proofErr w:type="spellStart"/>
            <w:r w:rsidRPr="00D91C9A">
              <w:rPr>
                <w:sz w:val="24"/>
              </w:rPr>
              <w:t>в.п</w:t>
            </w:r>
            <w:proofErr w:type="spellEnd"/>
            <w:r w:rsidRPr="00D91C9A">
              <w:rPr>
                <w:sz w:val="24"/>
              </w:rPr>
              <w:t xml:space="preserve">. випереджає ріст середньомісячної заробітної плати в цілому по економіці області, та водночас  на 7,8 % менше середнього рівня по економіці. В тому числі по виду діяльності </w:t>
            </w:r>
            <w:r w:rsidRPr="00D91C9A">
              <w:rPr>
                <w:i/>
                <w:sz w:val="24"/>
                <w:u w:val="single"/>
              </w:rPr>
              <w:t>сільське господарство</w:t>
            </w:r>
            <w:r w:rsidRPr="00D91C9A">
              <w:rPr>
                <w:i/>
                <w:sz w:val="24"/>
              </w:rPr>
              <w:t xml:space="preserve"> </w:t>
            </w:r>
            <w:r w:rsidRPr="00D91C9A">
              <w:rPr>
                <w:sz w:val="24"/>
              </w:rPr>
              <w:t xml:space="preserve">– зарплата у сільгоспвиробників зросла на 24,7 %, або на 603,6 грн., і складає </w:t>
            </w:r>
            <w:r w:rsidRPr="00D91C9A">
              <w:rPr>
                <w:bCs/>
                <w:sz w:val="24"/>
              </w:rPr>
              <w:t xml:space="preserve">3043,06 </w:t>
            </w:r>
            <w:r w:rsidRPr="00D91C9A">
              <w:rPr>
                <w:sz w:val="24"/>
              </w:rPr>
              <w:t>грн.</w:t>
            </w:r>
            <w:r w:rsidRPr="00D91C9A">
              <w:rPr>
                <w:i/>
                <w:sz w:val="24"/>
              </w:rPr>
              <w:t xml:space="preserve"> (на 13,3% менше середнього рівня по економіці області).</w:t>
            </w:r>
          </w:p>
          <w:p w:rsidR="00731BBC" w:rsidRPr="00D91C9A" w:rsidRDefault="00731BBC" w:rsidP="00731BBC">
            <w:pPr>
              <w:ind w:firstLine="709"/>
              <w:jc w:val="both"/>
              <w:rPr>
                <w:i/>
              </w:rPr>
            </w:pPr>
            <w:r w:rsidRPr="00D91C9A">
              <w:t xml:space="preserve">В галузі </w:t>
            </w:r>
            <w:r w:rsidRPr="00D91C9A">
              <w:rPr>
                <w:u w:val="single"/>
              </w:rPr>
              <w:t>транспорту, складського господарства, поштової та кур’єрської діяльності,</w:t>
            </w:r>
            <w:r w:rsidRPr="00D91C9A">
              <w:rPr>
                <w:i/>
              </w:rPr>
              <w:t xml:space="preserve"> </w:t>
            </w:r>
            <w:r w:rsidRPr="00D91C9A">
              <w:t xml:space="preserve">де середньомісячна заробітна плата становить – </w:t>
            </w:r>
            <w:r w:rsidRPr="00D91C9A">
              <w:rPr>
                <w:bCs/>
              </w:rPr>
              <w:t xml:space="preserve">4110,49 </w:t>
            </w:r>
            <w:r w:rsidRPr="00D91C9A">
              <w:t xml:space="preserve">грн. </w:t>
            </w:r>
            <w:r w:rsidRPr="00D91C9A">
              <w:rPr>
                <w:i/>
              </w:rPr>
              <w:t>(зросла на 26,3%, або на 855,05 грн., і на 17,1% перевищує середній рівень по економіці)</w:t>
            </w:r>
            <w:r w:rsidRPr="00D91C9A">
              <w:t xml:space="preserve">, в тому числі </w:t>
            </w:r>
            <w:r w:rsidRPr="00D91C9A">
              <w:rPr>
                <w:iCs/>
                <w:u w:val="single"/>
              </w:rPr>
              <w:t>складське господарство та допоміжна діяльність у сфері транспорту</w:t>
            </w:r>
            <w:r w:rsidRPr="00D91C9A">
              <w:rPr>
                <w:i/>
                <w:iCs/>
              </w:rPr>
              <w:t xml:space="preserve"> </w:t>
            </w:r>
            <w:r w:rsidRPr="00D91C9A">
              <w:t xml:space="preserve">– </w:t>
            </w:r>
            <w:r w:rsidRPr="00D91C9A">
              <w:rPr>
                <w:bCs/>
              </w:rPr>
              <w:t xml:space="preserve">4650,32 </w:t>
            </w:r>
            <w:r w:rsidRPr="00D91C9A">
              <w:t xml:space="preserve">грн. </w:t>
            </w:r>
            <w:r w:rsidRPr="00D91C9A">
              <w:rPr>
                <w:i/>
              </w:rPr>
              <w:t xml:space="preserve">(зросла на 27 %, або на 988,65 грн., і на 32,4 % перевищує середній рівень по економіці) </w:t>
            </w:r>
            <w:r w:rsidRPr="00D91C9A">
              <w:t>тощо.</w:t>
            </w:r>
          </w:p>
          <w:p w:rsidR="00731BBC" w:rsidRPr="00D91C9A" w:rsidRDefault="00731BBC" w:rsidP="00731BBC">
            <w:pPr>
              <w:ind w:firstLine="709"/>
              <w:jc w:val="both"/>
              <w:rPr>
                <w:i/>
              </w:rPr>
            </w:pPr>
            <w:r w:rsidRPr="00D91C9A">
              <w:t xml:space="preserve">Серед непромислових підприємств наростили рівень оплати праці на підприємствах </w:t>
            </w:r>
            <w:r w:rsidRPr="00D91C9A">
              <w:rPr>
                <w:u w:val="single"/>
              </w:rPr>
              <w:t>у сфері державного управління й оборони; обов’язкового соціального страхування</w:t>
            </w:r>
            <w:r w:rsidRPr="00D91C9A">
              <w:t xml:space="preserve"> де середньомісячна заробітна плата за січень-лютий 2016 року в порівнянні з відповідним періодом минулого року зросла на 21,8 % або на 656,42  грн. і становить </w:t>
            </w:r>
            <w:r w:rsidRPr="00D91C9A">
              <w:rPr>
                <w:bCs/>
              </w:rPr>
              <w:t xml:space="preserve">3668,22 </w:t>
            </w:r>
            <w:r w:rsidRPr="00D91C9A">
              <w:t xml:space="preserve">грн. </w:t>
            </w:r>
            <w:r w:rsidRPr="00D91C9A">
              <w:rPr>
                <w:i/>
              </w:rPr>
              <w:t>(на 4,5% більше середнього рівня по економіці),</w:t>
            </w:r>
            <w:r w:rsidRPr="00D91C9A">
              <w:t xml:space="preserve"> </w:t>
            </w:r>
            <w:r w:rsidRPr="00D91C9A">
              <w:rPr>
                <w:u w:val="single"/>
              </w:rPr>
              <w:t>сфері оптової та роздрібної торгівлі, ремонту автотранспортних засобів і мотоциклів</w:t>
            </w:r>
            <w:r w:rsidRPr="00D91C9A">
              <w:t xml:space="preserve"> – зросла на  22,7 %, або на 592,83 грн., і становить </w:t>
            </w:r>
            <w:r w:rsidRPr="00D91C9A">
              <w:rPr>
                <w:bCs/>
              </w:rPr>
              <w:t xml:space="preserve">3206,70 </w:t>
            </w:r>
            <w:r w:rsidRPr="00D91C9A">
              <w:t>грн.</w:t>
            </w:r>
            <w:r w:rsidRPr="00D91C9A">
              <w:rPr>
                <w:i/>
              </w:rPr>
              <w:t xml:space="preserve"> (на 8,7 % менше  середнього рівня по економіці), </w:t>
            </w:r>
            <w:r w:rsidRPr="00D91C9A">
              <w:rPr>
                <w:u w:val="single"/>
              </w:rPr>
              <w:t>сфері  будівництва</w:t>
            </w:r>
            <w:r w:rsidRPr="00D91C9A">
              <w:t xml:space="preserve"> середньомісячна заробітна плата зросла на 908,39 грн., або на 40,2%, і склала </w:t>
            </w:r>
            <w:r w:rsidRPr="00D91C9A">
              <w:rPr>
                <w:bCs/>
              </w:rPr>
              <w:t xml:space="preserve">3167,59 </w:t>
            </w:r>
            <w:r w:rsidRPr="00D91C9A">
              <w:t>грн</w:t>
            </w:r>
            <w:r w:rsidRPr="00D91C9A">
              <w:rPr>
                <w:i/>
              </w:rPr>
              <w:t xml:space="preserve">. (на 9,8 % менше середнього рівня по економіці)   </w:t>
            </w:r>
            <w:r w:rsidRPr="00D91C9A">
              <w:t>та ін.</w:t>
            </w: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Найменший рівень оплати праці в січні-лютому 2016 року мають працівники наступних галузей: </w:t>
            </w:r>
            <w:r w:rsidRPr="00D91C9A">
              <w:rPr>
                <w:iCs/>
                <w:u w:val="single"/>
              </w:rPr>
              <w:t>тимчасове розміщування й організація харчування</w:t>
            </w:r>
            <w:r w:rsidRPr="00D91C9A">
              <w:t xml:space="preserve"> – на 29,8 % менше </w:t>
            </w:r>
            <w:proofErr w:type="spellStart"/>
            <w:r w:rsidRPr="00D91C9A">
              <w:t>середньообласного</w:t>
            </w:r>
            <w:proofErr w:type="spellEnd"/>
            <w:r w:rsidRPr="00D91C9A">
              <w:t xml:space="preserve"> рівня (</w:t>
            </w:r>
            <w:r w:rsidRPr="00D91C9A">
              <w:rPr>
                <w:i/>
              </w:rPr>
              <w:t xml:space="preserve">складає – </w:t>
            </w:r>
            <w:r w:rsidRPr="00D91C9A">
              <w:rPr>
                <w:bCs/>
              </w:rPr>
              <w:t xml:space="preserve">2466,60 </w:t>
            </w:r>
            <w:r w:rsidRPr="00D91C9A">
              <w:rPr>
                <w:i/>
              </w:rPr>
              <w:t>грн. і на 47,1% р  більше рівня січня-лютого минулого року)</w:t>
            </w:r>
            <w:r w:rsidRPr="00D91C9A">
              <w:t>,</w:t>
            </w:r>
            <w:r w:rsidRPr="00D91C9A">
              <w:rPr>
                <w:u w:val="single"/>
              </w:rPr>
              <w:t xml:space="preserve"> у сфері охорони здоров’я та надання соціальної допомоги</w:t>
            </w:r>
            <w:r w:rsidRPr="00D91C9A">
              <w:t xml:space="preserve"> відповідно на 26,3 % менше (</w:t>
            </w:r>
            <w:r w:rsidRPr="00D91C9A">
              <w:rPr>
                <w:i/>
              </w:rPr>
              <w:t xml:space="preserve">складає – </w:t>
            </w:r>
            <w:r w:rsidRPr="00D91C9A">
              <w:rPr>
                <w:bCs/>
              </w:rPr>
              <w:t xml:space="preserve">2588,03 </w:t>
            </w:r>
            <w:r w:rsidRPr="00D91C9A">
              <w:rPr>
                <w:i/>
              </w:rPr>
              <w:t xml:space="preserve">грн. і зросла на 20,6 %), </w:t>
            </w:r>
            <w:r w:rsidRPr="00D91C9A">
              <w:rPr>
                <w:u w:val="single"/>
              </w:rPr>
              <w:t>у сфері</w:t>
            </w:r>
            <w:r w:rsidRPr="00D91C9A">
              <w:t xml:space="preserve"> </w:t>
            </w:r>
            <w:r w:rsidRPr="00D91C9A">
              <w:rPr>
                <w:u w:val="single"/>
              </w:rPr>
              <w:t>мистецтва, спорту розваг та відпочинку</w:t>
            </w:r>
            <w:r w:rsidRPr="00D91C9A">
              <w:t xml:space="preserve"> - на 36,9 % менше (</w:t>
            </w:r>
            <w:r w:rsidRPr="00D91C9A">
              <w:rPr>
                <w:i/>
              </w:rPr>
              <w:t xml:space="preserve">складає </w:t>
            </w:r>
            <w:r w:rsidRPr="00D91C9A">
              <w:rPr>
                <w:bCs/>
              </w:rPr>
              <w:t xml:space="preserve">2216,86  </w:t>
            </w:r>
            <w:r w:rsidRPr="00D91C9A">
              <w:rPr>
                <w:i/>
              </w:rPr>
              <w:t>грн.,</w:t>
            </w:r>
            <w:r w:rsidRPr="00D91C9A">
              <w:t xml:space="preserve"> </w:t>
            </w:r>
            <w:r w:rsidRPr="00D91C9A">
              <w:rPr>
                <w:i/>
              </w:rPr>
              <w:t xml:space="preserve">і зросла на 22,9 %) </w:t>
            </w:r>
            <w:r w:rsidRPr="00D91C9A">
              <w:t>тощо.</w:t>
            </w:r>
          </w:p>
          <w:p w:rsidR="00731BBC" w:rsidRPr="00D91C9A" w:rsidRDefault="00731BBC" w:rsidP="00731BBC">
            <w:pPr>
              <w:ind w:firstLine="709"/>
              <w:jc w:val="both"/>
            </w:pPr>
          </w:p>
          <w:p w:rsidR="00731BBC" w:rsidRPr="00D91C9A" w:rsidRDefault="00731BBC" w:rsidP="00731BBC">
            <w:pPr>
              <w:ind w:firstLine="709"/>
              <w:jc w:val="both"/>
            </w:pP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В розрізі адміністративно-територіальних одиниць вище середнього рівня по області </w:t>
            </w:r>
            <w:r w:rsidRPr="00D91C9A">
              <w:rPr>
                <w:u w:val="single"/>
              </w:rPr>
              <w:t>за січень-грудень 2015 року</w:t>
            </w:r>
            <w:r w:rsidRPr="00D91C9A">
              <w:t xml:space="preserve"> отримують заробітну плату працівники </w:t>
            </w:r>
            <w:r w:rsidRPr="00D91C9A">
              <w:rPr>
                <w:u w:val="single"/>
              </w:rPr>
              <w:t>4 міст обласного значення</w:t>
            </w:r>
            <w:r w:rsidRPr="00D91C9A">
              <w:t xml:space="preserve">: </w:t>
            </w:r>
          </w:p>
          <w:p w:rsidR="00731BBC" w:rsidRPr="00D91C9A" w:rsidRDefault="00731BBC" w:rsidP="00731BBC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0" w:firstLine="709"/>
              <w:jc w:val="both"/>
            </w:pPr>
            <w:r w:rsidRPr="00D91C9A">
              <w:t xml:space="preserve">м. </w:t>
            </w:r>
            <w:proofErr w:type="spellStart"/>
            <w:r w:rsidRPr="00D91C9A">
              <w:t>Ладижин</w:t>
            </w:r>
            <w:proofErr w:type="spellEnd"/>
            <w:r w:rsidRPr="00D91C9A">
              <w:t xml:space="preserve"> – майже в 1,6 рази - </w:t>
            </w:r>
            <w:r w:rsidRPr="00D91C9A">
              <w:rPr>
                <w:lang w:val="ru-RU"/>
              </w:rPr>
              <w:t>5465</w:t>
            </w:r>
            <w:r w:rsidRPr="00D91C9A">
              <w:t xml:space="preserve"> грн. (+24,1% до рівня січня-грудня 2014</w:t>
            </w:r>
          </w:p>
          <w:p w:rsidR="00731BBC" w:rsidRPr="00D91C9A" w:rsidRDefault="00731BBC" w:rsidP="00731BBC">
            <w:pPr>
              <w:tabs>
                <w:tab w:val="left" w:pos="34"/>
              </w:tabs>
              <w:ind w:firstLine="709"/>
              <w:jc w:val="both"/>
            </w:pPr>
            <w:r w:rsidRPr="00D91C9A">
              <w:t xml:space="preserve"> року);</w:t>
            </w:r>
          </w:p>
          <w:p w:rsidR="00731BBC" w:rsidRPr="00D91C9A" w:rsidRDefault="00731BBC" w:rsidP="00731BBC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0" w:firstLine="709"/>
              <w:jc w:val="both"/>
            </w:pPr>
            <w:r w:rsidRPr="00D91C9A">
              <w:t xml:space="preserve">м. Козятин – на  25,7% - 4269 грн. (+19,5%); </w:t>
            </w:r>
          </w:p>
          <w:p w:rsidR="00731BBC" w:rsidRPr="00D91C9A" w:rsidRDefault="00731BBC" w:rsidP="00731BBC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0" w:firstLine="709"/>
              <w:jc w:val="both"/>
            </w:pPr>
            <w:r w:rsidRPr="00D91C9A">
              <w:t>м. Жмеринка – на 15,2% - 3913</w:t>
            </w:r>
            <w:r w:rsidRPr="00D91C9A">
              <w:rPr>
                <w:lang w:val="ru-RU"/>
              </w:rPr>
              <w:t xml:space="preserve"> </w:t>
            </w:r>
            <w:r w:rsidRPr="00D91C9A">
              <w:t>грн. (+17,5%);</w:t>
            </w:r>
          </w:p>
          <w:p w:rsidR="00731BBC" w:rsidRPr="00D91C9A" w:rsidRDefault="00731BBC" w:rsidP="00731BBC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0" w:firstLine="709"/>
              <w:jc w:val="both"/>
            </w:pPr>
            <w:r w:rsidRPr="00D91C9A">
              <w:t>м. Вінниця – на 9,6% - 3723 грн. (+21,2%).</w:t>
            </w:r>
          </w:p>
          <w:p w:rsidR="00731BBC" w:rsidRPr="00D91C9A" w:rsidRDefault="00731BBC" w:rsidP="00731BBC">
            <w:pPr>
              <w:ind w:firstLine="709"/>
              <w:jc w:val="both"/>
              <w:rPr>
                <w:u w:val="single"/>
              </w:rPr>
            </w:pPr>
            <w:r w:rsidRPr="00D91C9A">
              <w:rPr>
                <w:u w:val="single"/>
              </w:rPr>
              <w:t>та  3 районів:</w:t>
            </w: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           Гайсинського – на 7,9% - 3666 грн. (+29,7%);</w:t>
            </w: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            </w:t>
            </w:r>
            <w:proofErr w:type="spellStart"/>
            <w:r w:rsidRPr="00D91C9A">
              <w:t>Крижопільського</w:t>
            </w:r>
            <w:proofErr w:type="spellEnd"/>
            <w:r w:rsidRPr="00D91C9A">
              <w:t xml:space="preserve"> -  на 4,3% - 3543 грн. (+24,4%);</w:t>
            </w:r>
          </w:p>
          <w:p w:rsidR="00731BBC" w:rsidRPr="00D91C9A" w:rsidRDefault="00731BBC" w:rsidP="00731BBC">
            <w:pPr>
              <w:ind w:firstLine="709"/>
              <w:jc w:val="both"/>
              <w:rPr>
                <w:u w:val="single"/>
              </w:rPr>
            </w:pPr>
            <w:r w:rsidRPr="00D91C9A">
              <w:t xml:space="preserve">           Тростянецького   – на 0,3% - 3407 грн. (+21,6%).</w:t>
            </w: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lastRenderedPageBreak/>
              <w:t>У всіх інших районах та містах області рівень середньомісячної заробітної плати нижче середнього показника по області, серед яких найбільший її розмір мають наступні райони:</w:t>
            </w:r>
          </w:p>
          <w:p w:rsidR="00731BBC" w:rsidRPr="00D91C9A" w:rsidRDefault="00731BBC" w:rsidP="00731BBC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r w:rsidRPr="00D91C9A">
              <w:t>Вінницький – 3318 грн. (+25,4% до рівня січня-грудня 2014 року);</w:t>
            </w:r>
          </w:p>
          <w:p w:rsidR="00731BBC" w:rsidRPr="00D91C9A" w:rsidRDefault="00731BBC" w:rsidP="00731BBC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proofErr w:type="spellStart"/>
            <w:r w:rsidRPr="00D91C9A">
              <w:t>Томашпільський</w:t>
            </w:r>
            <w:proofErr w:type="spellEnd"/>
            <w:r w:rsidRPr="00D91C9A">
              <w:t xml:space="preserve"> – 3317</w:t>
            </w:r>
            <w:r w:rsidRPr="00D91C9A">
              <w:rPr>
                <w:lang w:val="ru-RU"/>
              </w:rPr>
              <w:t xml:space="preserve"> </w:t>
            </w:r>
            <w:r w:rsidRPr="00D91C9A">
              <w:t>грн.  (+18,5%);</w:t>
            </w:r>
          </w:p>
          <w:p w:rsidR="00731BBC" w:rsidRPr="00D91C9A" w:rsidRDefault="00731BBC" w:rsidP="00731BBC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proofErr w:type="spellStart"/>
            <w:r w:rsidRPr="00D91C9A">
              <w:t>Іллінецький</w:t>
            </w:r>
            <w:proofErr w:type="spellEnd"/>
            <w:r w:rsidRPr="00D91C9A">
              <w:t xml:space="preserve"> - 3273 грн. (+2ч1,8%);</w:t>
            </w:r>
          </w:p>
          <w:p w:rsidR="00731BBC" w:rsidRPr="00D91C9A" w:rsidRDefault="00731BBC" w:rsidP="00731BBC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proofErr w:type="spellStart"/>
            <w:r w:rsidRPr="00D91C9A">
              <w:t>Піщанський</w:t>
            </w:r>
            <w:proofErr w:type="spellEnd"/>
            <w:r w:rsidRPr="00D91C9A">
              <w:t xml:space="preserve"> – 3135 грн. (+22,7%);</w:t>
            </w:r>
          </w:p>
          <w:p w:rsidR="00731BBC" w:rsidRPr="00D91C9A" w:rsidRDefault="00731BBC" w:rsidP="00731BBC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r w:rsidRPr="00D91C9A">
              <w:t>Барський – 3131 грн. (+20,6%);</w:t>
            </w:r>
          </w:p>
          <w:p w:rsidR="00731BBC" w:rsidRPr="00D91C9A" w:rsidRDefault="00731BBC" w:rsidP="00731BBC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r w:rsidRPr="00D91C9A">
              <w:t>Хмільницький 3123 грн. (+27,1).</w:t>
            </w:r>
          </w:p>
          <w:p w:rsidR="00731BBC" w:rsidRPr="00D91C9A" w:rsidRDefault="00731BBC" w:rsidP="00731BBC">
            <w:pPr>
              <w:ind w:firstLine="709"/>
              <w:jc w:val="both"/>
            </w:pP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Наростили середньомісячну заробітну плату протягом січня-грудня 2015 року всі міста обласного значення (найбільше </w:t>
            </w:r>
            <w:proofErr w:type="spellStart"/>
            <w:r w:rsidRPr="00D91C9A">
              <w:t>м.Могилів</w:t>
            </w:r>
            <w:proofErr w:type="spellEnd"/>
            <w:r w:rsidRPr="00D91C9A">
              <w:t xml:space="preserve">-Подільський – на 30,1% і </w:t>
            </w:r>
            <w:proofErr w:type="spellStart"/>
            <w:r w:rsidRPr="00D91C9A">
              <w:t>м.Ладижин</w:t>
            </w:r>
            <w:proofErr w:type="spellEnd"/>
            <w:r w:rsidRPr="00D91C9A">
              <w:t xml:space="preserve"> – на 24,1%) та всі 27 районів.</w:t>
            </w:r>
          </w:p>
          <w:p w:rsidR="00731BBC" w:rsidRPr="00D91C9A" w:rsidRDefault="00731BBC" w:rsidP="00731BBC">
            <w:pPr>
              <w:ind w:firstLine="709"/>
              <w:jc w:val="both"/>
            </w:pPr>
            <w:r w:rsidRPr="00D91C9A">
              <w:t xml:space="preserve">            Найбільший темп приросту рівня середньомісячної заробітної плати за січень-грудень 2015 року в порівнянні з відповідним періодом 2014 року спостерігається у наступних районах: Гайсинському – на 29,7%, Хмільницькому – 27,1%, </w:t>
            </w:r>
            <w:proofErr w:type="spellStart"/>
            <w:r w:rsidRPr="00D91C9A">
              <w:t>Немирівському</w:t>
            </w:r>
            <w:proofErr w:type="spellEnd"/>
            <w:r w:rsidRPr="00D91C9A">
              <w:t xml:space="preserve"> - на 26,5%,  Вінницькому – на 25,4%, </w:t>
            </w:r>
            <w:proofErr w:type="spellStart"/>
            <w:r w:rsidRPr="00D91C9A">
              <w:t>Крижопільському</w:t>
            </w:r>
            <w:proofErr w:type="spellEnd"/>
            <w:r w:rsidRPr="00D91C9A">
              <w:t xml:space="preserve"> – на 24,4%), Тиврівському 24,2% тощо.</w:t>
            </w:r>
          </w:p>
          <w:p w:rsidR="00731BBC" w:rsidRPr="00D91C9A" w:rsidRDefault="00731BBC" w:rsidP="00731BBC">
            <w:pPr>
              <w:tabs>
                <w:tab w:val="left" w:pos="0"/>
              </w:tabs>
              <w:snapToGrid w:val="0"/>
              <w:ind w:firstLine="709"/>
              <w:jc w:val="both"/>
            </w:pPr>
            <w:r w:rsidRPr="00D91C9A">
              <w:t xml:space="preserve">Найнижча зарплата в області у працівників підприємств та організацій </w:t>
            </w:r>
            <w:proofErr w:type="spellStart"/>
            <w:r w:rsidRPr="00D91C9A">
              <w:t>Чечельницького</w:t>
            </w:r>
            <w:proofErr w:type="spellEnd"/>
            <w:r w:rsidRPr="00D91C9A">
              <w:t xml:space="preserve"> - 2431 грн. (до січня-грудня 2014 року ріст 13,3%, на 28,4% менше середньо обласного рівня), </w:t>
            </w:r>
            <w:proofErr w:type="spellStart"/>
            <w:r w:rsidRPr="00D91C9A">
              <w:t>Погребищенського</w:t>
            </w:r>
            <w:proofErr w:type="spellEnd"/>
            <w:r w:rsidRPr="00D91C9A">
              <w:t xml:space="preserve"> – 2509 грн. (відповідно +17,8%, на 26,1 менше), </w:t>
            </w:r>
            <w:proofErr w:type="spellStart"/>
            <w:r w:rsidRPr="00D91C9A">
              <w:t>Літинського</w:t>
            </w:r>
            <w:proofErr w:type="spellEnd"/>
            <w:r w:rsidRPr="00D91C9A">
              <w:t xml:space="preserve"> - 2539 грн. (+13,7%, на 25,3% менше), Ямпільського – 2650 грн. (+19,5%, на 22% менше) тощо.</w:t>
            </w:r>
          </w:p>
          <w:p w:rsidR="00997C0E" w:rsidRPr="00D91C9A" w:rsidRDefault="00997C0E" w:rsidP="00CF7C63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A156B8" w:rsidRPr="00D91C9A" w:rsidTr="00251ED5">
        <w:trPr>
          <w:trHeight w:val="1133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156B8" w:rsidRPr="00D91C9A" w:rsidRDefault="00A156B8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D91C9A">
              <w:rPr>
                <w:rFonts w:cs="Times New Roman"/>
                <w:b/>
                <w:i/>
                <w:sz w:val="24"/>
              </w:rPr>
              <w:lastRenderedPageBreak/>
              <w:t>Проблемні питання: заборгованість із виплати заробітної плати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731BBC" w:rsidRPr="00D91C9A" w:rsidRDefault="00731BBC" w:rsidP="00731BBC">
            <w:pPr>
              <w:suppressAutoHyphens/>
              <w:ind w:firstLine="709"/>
              <w:jc w:val="both"/>
              <w:rPr>
                <w:i/>
              </w:rPr>
            </w:pPr>
            <w:r w:rsidRPr="00D91C9A">
              <w:t>Відповідно до інформації Головного управління статистики у Вінницькій області станом на 1 березня 2016 року, загальна сума заборгованості із заробітної плати</w:t>
            </w:r>
            <w:r w:rsidRPr="00D91C9A">
              <w:rPr>
                <w:bCs/>
              </w:rPr>
              <w:t xml:space="preserve"> </w:t>
            </w:r>
            <w:r w:rsidRPr="00D91C9A">
              <w:t>на 45 підприємствах області (включаючи 16 економічно активних, 25 підприємств-банкрутів та 4 економічно неактивні, які призупинили діяльність) становить в цілому 11 735,7</w:t>
            </w:r>
            <w:r w:rsidRPr="00D91C9A">
              <w:rPr>
                <w:bCs/>
              </w:rPr>
              <w:t xml:space="preserve"> </w:t>
            </w:r>
            <w:proofErr w:type="spellStart"/>
            <w:r w:rsidRPr="00D91C9A">
              <w:rPr>
                <w:bCs/>
              </w:rPr>
              <w:t>тис.грн</w:t>
            </w:r>
            <w:proofErr w:type="spellEnd"/>
            <w:r w:rsidRPr="00D91C9A">
              <w:rPr>
                <w:bCs/>
              </w:rPr>
              <w:t>.</w:t>
            </w:r>
            <w:r w:rsidRPr="00D91C9A">
              <w:t xml:space="preserve">, в порівнянні з початком 2016 року зросла на 16,5% або на 1 659,8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., до рівня станом на 01.02.2016 року зросла на 6,7% або 740,1 </w:t>
            </w:r>
            <w:proofErr w:type="spellStart"/>
            <w:r w:rsidRPr="00D91C9A">
              <w:t>тис.грн</w:t>
            </w:r>
            <w:proofErr w:type="spellEnd"/>
            <w:r w:rsidRPr="00D91C9A">
              <w:t>.</w:t>
            </w:r>
            <w:r w:rsidRPr="00D91C9A">
              <w:rPr>
                <w:i/>
              </w:rPr>
              <w:t xml:space="preserve"> 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>На</w:t>
            </w:r>
            <w:r w:rsidRPr="00D91C9A">
              <w:rPr>
                <w:bCs/>
              </w:rPr>
              <w:t xml:space="preserve"> </w:t>
            </w:r>
            <w:r w:rsidRPr="00D91C9A">
              <w:rPr>
                <w:u w:val="single"/>
              </w:rPr>
              <w:t>економічно активних підприємствах</w:t>
            </w:r>
            <w:r w:rsidRPr="00D91C9A">
              <w:rPr>
                <w:bCs/>
              </w:rPr>
              <w:t xml:space="preserve"> </w:t>
            </w:r>
            <w:r w:rsidRPr="00D91C9A">
              <w:t xml:space="preserve">області сума боргу на звітну дату становить 3 421,3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або 29,2% від загальної суми по області, проти 01.02.2016 року зросла на 30,5% або на 799,7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., до початку року зменшилась на 10,2% або на 388,9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>Сума боргу із заробітної плати на</w:t>
            </w:r>
            <w:r w:rsidRPr="00D91C9A">
              <w:rPr>
                <w:bCs/>
              </w:rPr>
              <w:t xml:space="preserve"> </w:t>
            </w:r>
            <w:r w:rsidRPr="00D91C9A">
              <w:rPr>
                <w:u w:val="single"/>
              </w:rPr>
              <w:t>підприємствах-банкрутах</w:t>
            </w:r>
            <w:r w:rsidRPr="00D91C9A">
              <w:t xml:space="preserve"> області проти початку 2016 року зросла на 7,4% або на 391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., а до рівня станом на 01.02.2016 року зменшилась на 1% або на 59,6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та станом на 01.03.2016 року складає 5679,5 </w:t>
            </w:r>
            <w:proofErr w:type="spellStart"/>
            <w:r w:rsidRPr="00D91C9A">
              <w:t>тис.грн</w:t>
            </w:r>
            <w:proofErr w:type="spellEnd"/>
            <w:r w:rsidRPr="00D91C9A">
              <w:t>.,</w:t>
            </w:r>
            <w:r w:rsidRPr="00D91C9A">
              <w:rPr>
                <w:lang w:val="ru-RU"/>
              </w:rPr>
              <w:t xml:space="preserve"> </w:t>
            </w:r>
            <w:r w:rsidRPr="00D91C9A">
              <w:t xml:space="preserve">або 48,4% від загальної суми боргу по області. 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i/>
              </w:rPr>
            </w:pPr>
            <w:r w:rsidRPr="00D91C9A">
              <w:t>Заборгованість із зарплати на е</w:t>
            </w:r>
            <w:r w:rsidRPr="00D91C9A">
              <w:rPr>
                <w:u w:val="single"/>
              </w:rPr>
              <w:t>кономічно неактивних підприємствах</w:t>
            </w:r>
            <w:r w:rsidRPr="00D91C9A">
              <w:t xml:space="preserve"> </w:t>
            </w:r>
            <w:r w:rsidRPr="00D91C9A">
              <w:rPr>
                <w:i/>
              </w:rPr>
              <w:t>(які призупинили діяльність)</w:t>
            </w:r>
            <w:r w:rsidRPr="00D91C9A">
              <w:t xml:space="preserve"> станом на звітну дату складає  2634,9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або 24% від загальної суми боргу по області і  по відношенню до 01.01.2016 року зросла в 2,7 рази або на 1657,7 </w:t>
            </w:r>
            <w:proofErr w:type="spellStart"/>
            <w:r w:rsidRPr="00D91C9A">
              <w:t>тис.грн</w:t>
            </w:r>
            <w:proofErr w:type="spellEnd"/>
            <w:r w:rsidRPr="00D91C9A">
              <w:t>., а до 01.02.2016 року не змінилась.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>Сума невиплаченої заробітної плати станом на 01.03.2016 року складає 1,2% фонду оплати праці за лютий</w:t>
            </w:r>
            <w:r w:rsidRPr="00D91C9A">
              <w:rPr>
                <w:lang w:val="ru-RU"/>
              </w:rPr>
              <w:t xml:space="preserve"> </w:t>
            </w:r>
            <w:r w:rsidRPr="00D91C9A">
              <w:t xml:space="preserve">2016 року. 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Станом на 01.03.2016 року не </w:t>
            </w:r>
            <w:proofErr w:type="spellStart"/>
            <w:r w:rsidRPr="00D91C9A">
              <w:t>виплачено</w:t>
            </w:r>
            <w:proofErr w:type="spellEnd"/>
            <w:r w:rsidRPr="00D91C9A">
              <w:t xml:space="preserve"> заробітну плату </w:t>
            </w:r>
            <w:r w:rsidRPr="00D91C9A">
              <w:rPr>
                <w:bCs/>
              </w:rPr>
              <w:t xml:space="preserve">997 </w:t>
            </w:r>
            <w:r w:rsidRPr="00D91C9A">
              <w:t xml:space="preserve">працівнику економічно активних підприємств </w:t>
            </w:r>
            <w:r w:rsidRPr="00D91C9A">
              <w:rPr>
                <w:i/>
              </w:rPr>
              <w:t>(0,4% середньооблікової кількості штатних працівників області)</w:t>
            </w:r>
            <w:r w:rsidRPr="00D91C9A">
              <w:t>, що на 346 осіб, або у 1,5 рази більше ніж станом на 01.01.2016 р. (</w:t>
            </w:r>
            <w:r w:rsidRPr="00D91C9A">
              <w:rPr>
                <w:i/>
              </w:rPr>
              <w:t xml:space="preserve">кількість таких осіб складала </w:t>
            </w:r>
            <w:r w:rsidRPr="00D91C9A">
              <w:t xml:space="preserve">651). Сума боргу із виплати заробітної плати, яка припадає на одного працівника, в середньому складає </w:t>
            </w:r>
            <w:r w:rsidRPr="00D91C9A">
              <w:rPr>
                <w:bCs/>
              </w:rPr>
              <w:t>3432</w:t>
            </w:r>
            <w:r w:rsidRPr="00D91C9A">
              <w:t xml:space="preserve"> грн., що складає 94,8% середньої заробітної плати за лютий.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u w:val="single"/>
              </w:rPr>
            </w:pP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u w:val="single"/>
              </w:rPr>
            </w:pPr>
            <w:r w:rsidRPr="00D91C9A">
              <w:t>В розрізі основних видів економічної діяльності в структурі заборгованості із оплати праці області найбільшу питому вагу займають борги підприємств</w:t>
            </w:r>
            <w:r w:rsidRPr="00D91C9A">
              <w:rPr>
                <w:u w:val="single"/>
              </w:rPr>
              <w:t xml:space="preserve"> </w:t>
            </w:r>
            <w:r w:rsidRPr="00D91C9A">
              <w:rPr>
                <w:u w:val="single"/>
              </w:rPr>
              <w:lastRenderedPageBreak/>
              <w:t>промисловості (65,8%), складське господарство та допоміжна діяльність у сфері транспорту  (11,1%), у сфері професійної, наукової та технічної діяльності</w:t>
            </w:r>
            <w:r w:rsidRPr="00D91C9A">
              <w:rPr>
                <w:i/>
                <w:u w:val="single"/>
              </w:rPr>
              <w:t xml:space="preserve"> </w:t>
            </w:r>
            <w:r w:rsidRPr="00D91C9A">
              <w:rPr>
                <w:u w:val="single"/>
              </w:rPr>
              <w:t>(7,1%), у сфері адміністративного та допоміжного обслуговування (5,7%),будівництва (3,9%), тощо.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На </w:t>
            </w:r>
            <w:r w:rsidRPr="00D91C9A">
              <w:rPr>
                <w:i/>
              </w:rPr>
              <w:t>промислових підприємствах</w:t>
            </w:r>
            <w:r w:rsidRPr="00D91C9A">
              <w:t xml:space="preserve"> області  заборгованість із заробітної плати станом на 01.03.2016 року склала 7722,7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і в порівнянні з 01.01.2016 року зросла на 28,9% або на 1729,3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., в тому числі на економічно активних промислових підприємствах борг становить 1386 </w:t>
            </w:r>
            <w:proofErr w:type="spellStart"/>
            <w:r w:rsidRPr="00D91C9A">
              <w:t>тис.грн</w:t>
            </w:r>
            <w:proofErr w:type="spellEnd"/>
            <w:r w:rsidRPr="00D91C9A">
              <w:t>.</w:t>
            </w:r>
            <w:r w:rsidRPr="00D91C9A">
              <w:rPr>
                <w:i/>
              </w:rPr>
              <w:t xml:space="preserve"> (17,9% загальної суми боргу по галузі</w:t>
            </w:r>
            <w:r w:rsidRPr="00D91C9A">
              <w:t xml:space="preserve">) і до 01.01.2016 року зменшився на 1113,2 </w:t>
            </w:r>
            <w:proofErr w:type="spellStart"/>
            <w:r w:rsidRPr="00D91C9A">
              <w:t>тис.грн</w:t>
            </w:r>
            <w:proofErr w:type="spellEnd"/>
            <w:r w:rsidRPr="00D91C9A">
              <w:t>. або на 35,8%.</w:t>
            </w:r>
            <w:r w:rsidRPr="00D91C9A">
              <w:rPr>
                <w:i/>
              </w:rPr>
              <w:t xml:space="preserve"> </w:t>
            </w:r>
            <w:r w:rsidRPr="00D91C9A">
              <w:t xml:space="preserve">На промислових підприємствах-банкрутах станом на 01.03.2016 р. сума боргу з оплати праці становила 4038,4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>(52,32% загальної суми боргу по галузі</w:t>
            </w:r>
            <w:r w:rsidRPr="00D91C9A">
              <w:t xml:space="preserve">) та проти 01.01.2016 р. зросла на 44,1% або на 1236,8 </w:t>
            </w:r>
            <w:proofErr w:type="spellStart"/>
            <w:r w:rsidRPr="00D91C9A">
              <w:t>тис.грн</w:t>
            </w:r>
            <w:proofErr w:type="spellEnd"/>
            <w:r w:rsidRPr="00D91C9A">
              <w:t>.</w:t>
            </w:r>
            <w:r w:rsidRPr="00D91C9A">
              <w:rPr>
                <w:i/>
              </w:rPr>
              <w:t xml:space="preserve"> 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На </w:t>
            </w:r>
            <w:r w:rsidRPr="00D91C9A">
              <w:rPr>
                <w:i/>
              </w:rPr>
              <w:t xml:space="preserve">  підприємствах</w:t>
            </w:r>
            <w:r w:rsidRPr="00D91C9A">
              <w:t xml:space="preserve"> </w:t>
            </w:r>
            <w:r w:rsidRPr="00D91C9A">
              <w:rPr>
                <w:i/>
              </w:rPr>
              <w:t>сільського господарства, лісового господарства та рибного господарства</w:t>
            </w:r>
            <w:r w:rsidRPr="00D91C9A">
              <w:t xml:space="preserve"> області  заборгованість із заробітної плати станом на 01.03.2016 року склала 25,9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і в порівнянні з 01.01.2016 року не змінилась. На економічно активних підприємствах борги відсутні. Борги допущені лише на одному  сільськогосподарському підприємстві, яке перебуває у процедурі банкрутства.  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На підприємствах </w:t>
            </w:r>
            <w:r w:rsidRPr="00D91C9A">
              <w:rPr>
                <w:i/>
              </w:rPr>
              <w:t xml:space="preserve">транспорту, складського господарства </w:t>
            </w:r>
            <w:r w:rsidRPr="00D91C9A">
              <w:t xml:space="preserve">сума боргу склала 1307,9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і зросла до початку року у 10,2 рази, або на 1180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89,8% зазначених боргів зосереджено на економічно активних підприємствах (1174,6 </w:t>
            </w:r>
            <w:proofErr w:type="spellStart"/>
            <w:r w:rsidRPr="00D91C9A">
              <w:t>тис.грн</w:t>
            </w:r>
            <w:proofErr w:type="spellEnd"/>
            <w:r w:rsidRPr="00D91C9A">
              <w:t>.).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rPr>
                <w:i/>
              </w:rPr>
              <w:t>У будівництві</w:t>
            </w:r>
            <w:r w:rsidRPr="00D91C9A">
              <w:t xml:space="preserve"> сума боргу скоротилась до рівня на початок 2016 року в 3,5 рази або на 1129,3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– всього заборговано 453,3 </w:t>
            </w:r>
            <w:proofErr w:type="spellStart"/>
            <w:r w:rsidRPr="00D91C9A">
              <w:t>тис.грн</w:t>
            </w:r>
            <w:proofErr w:type="spellEnd"/>
            <w:r w:rsidRPr="00D91C9A">
              <w:t>. заробітної плати. На економічно активних будівельних підприємствах борги із заробітної плати відсутні, увесь обсяг боргів належить підприємствам, які перебувають у процедурі банкрутства.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Значна сума боргів із заробітної плати на підприємствах та установах у сфері  </w:t>
            </w:r>
            <w:r w:rsidRPr="00D91C9A">
              <w:rPr>
                <w:i/>
              </w:rPr>
              <w:t>професійної, наукової та технічної діяльності</w:t>
            </w:r>
            <w:r w:rsidRPr="00D91C9A">
              <w:t xml:space="preserve"> – 835,7 </w:t>
            </w:r>
            <w:proofErr w:type="spellStart"/>
            <w:r w:rsidRPr="00D91C9A">
              <w:t>тис.грн</w:t>
            </w:r>
            <w:proofErr w:type="spellEnd"/>
            <w:r w:rsidRPr="00D91C9A">
              <w:t>.</w:t>
            </w:r>
            <w:r w:rsidRPr="00D91C9A">
              <w:rPr>
                <w:i/>
              </w:rPr>
              <w:t xml:space="preserve">, </w:t>
            </w:r>
            <w:r w:rsidRPr="00D91C9A">
              <w:t xml:space="preserve">протягом січня-лютого поточного року борг зменшився у 1,7 рази , або на 590,6 </w:t>
            </w:r>
            <w:proofErr w:type="spellStart"/>
            <w:r w:rsidRPr="00D91C9A">
              <w:t>тис.грн</w:t>
            </w:r>
            <w:proofErr w:type="spellEnd"/>
            <w:r w:rsidRPr="00D91C9A">
              <w:t>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lang w:val="ru-RU"/>
              </w:rPr>
            </w:pPr>
            <w:r w:rsidRPr="00D91C9A">
              <w:t>На підприємствах</w:t>
            </w:r>
            <w:r w:rsidRPr="00D91C9A">
              <w:rPr>
                <w:i/>
              </w:rPr>
              <w:t xml:space="preserve"> у сфері адміністративного та допоміжного обслуговування</w:t>
            </w:r>
            <w:r w:rsidRPr="00D91C9A">
              <w:rPr>
                <w:u w:val="single"/>
              </w:rPr>
              <w:t xml:space="preserve"> </w:t>
            </w:r>
            <w:r w:rsidRPr="00D91C9A">
              <w:t xml:space="preserve">протягом 2 місяців 2016 року борг зріс у 6,3 рази, або на 559 </w:t>
            </w:r>
            <w:proofErr w:type="spellStart"/>
            <w:r w:rsidRPr="00D91C9A">
              <w:t>тис.грн</w:t>
            </w:r>
            <w:proofErr w:type="spellEnd"/>
            <w:r w:rsidRPr="00D91C9A">
              <w:t>. і сума заборгованості на 01.03.2016 року становить 664,6 тис. грн.</w:t>
            </w:r>
            <w:r w:rsidRPr="00D91C9A">
              <w:rPr>
                <w:lang w:val="ru-RU"/>
              </w:rPr>
              <w:t xml:space="preserve"> 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Серед невиробничих галузей </w:t>
            </w:r>
            <w:proofErr w:type="spellStart"/>
            <w:r w:rsidRPr="00D91C9A">
              <w:rPr>
                <w:lang w:val="ru-RU"/>
              </w:rPr>
              <w:t>зменшились</w:t>
            </w:r>
            <w:proofErr w:type="spellEnd"/>
            <w:r w:rsidRPr="00D91C9A">
              <w:t xml:space="preserve"> за січень-лютий 2016 року борги із оплати праці на підприємствах </w:t>
            </w:r>
            <w:r w:rsidRPr="00D91C9A">
              <w:rPr>
                <w:i/>
              </w:rPr>
              <w:t>оптової та роздрібної торгівлі; ремонту автотранспортних засобів і мотоциклів –</w:t>
            </w:r>
            <w:r w:rsidRPr="00D91C9A">
              <w:t xml:space="preserve"> до рівня на початок року на 27,9% або на 76,3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., сума боргу складає 197,3 </w:t>
            </w:r>
            <w:proofErr w:type="spellStart"/>
            <w:r w:rsidRPr="00D91C9A">
              <w:t>тис.грн</w:t>
            </w:r>
            <w:proofErr w:type="spellEnd"/>
            <w:r w:rsidRPr="00D91C9A">
              <w:t>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>В розрізі адміністративно-територіальних одиниць ситуація наступна: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Станом на звітну дату відсутня заборгованість із заробітної плати на підприємствах 14 районів: Бершадському, Гайсинському, Козятинському </w:t>
            </w:r>
            <w:proofErr w:type="spellStart"/>
            <w:r w:rsidRPr="00D91C9A">
              <w:t>Літинському</w:t>
            </w:r>
            <w:proofErr w:type="spellEnd"/>
            <w:r w:rsidRPr="00D91C9A">
              <w:t xml:space="preserve">, Могилів-Подільському, </w:t>
            </w:r>
            <w:proofErr w:type="spellStart"/>
            <w:r w:rsidRPr="00D91C9A">
              <w:t>Немирівському</w:t>
            </w:r>
            <w:proofErr w:type="spellEnd"/>
            <w:r w:rsidRPr="00D91C9A">
              <w:t xml:space="preserve">, </w:t>
            </w:r>
            <w:proofErr w:type="spellStart"/>
            <w:r w:rsidRPr="00D91C9A">
              <w:t>Оратівському</w:t>
            </w:r>
            <w:proofErr w:type="spellEnd"/>
            <w:r w:rsidRPr="00D91C9A">
              <w:t xml:space="preserve">, </w:t>
            </w:r>
            <w:proofErr w:type="spellStart"/>
            <w:r w:rsidRPr="00D91C9A">
              <w:t>Піщанському</w:t>
            </w:r>
            <w:proofErr w:type="spellEnd"/>
            <w:r w:rsidRPr="00D91C9A">
              <w:t xml:space="preserve">, </w:t>
            </w:r>
            <w:proofErr w:type="spellStart"/>
            <w:r w:rsidRPr="00D91C9A">
              <w:t>Погребищенському</w:t>
            </w:r>
            <w:proofErr w:type="spellEnd"/>
            <w:r w:rsidRPr="00D91C9A">
              <w:t>, Томашпільському, Тиврівському, Хмільницькому, Чернівецькому, Ямпільському та місті Хмільник.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bCs/>
              </w:rPr>
            </w:pPr>
            <w:r w:rsidRPr="00D91C9A">
              <w:t>Скоротили заборгованість із заробітної плати до 01.02.2016 року 2</w:t>
            </w:r>
            <w:r w:rsidRPr="00D91C9A">
              <w:rPr>
                <w:bCs/>
              </w:rPr>
              <w:t xml:space="preserve"> райони: 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bCs/>
                <w:lang w:val="ru-RU"/>
              </w:rPr>
            </w:pPr>
            <w:r w:rsidRPr="00D91C9A">
              <w:rPr>
                <w:bCs/>
              </w:rPr>
              <w:t xml:space="preserve">- Немирівський – на 266,8 </w:t>
            </w:r>
            <w:proofErr w:type="spellStart"/>
            <w:r w:rsidRPr="00D91C9A">
              <w:rPr>
                <w:bCs/>
              </w:rPr>
              <w:t>тис.грн</w:t>
            </w:r>
            <w:proofErr w:type="spellEnd"/>
            <w:r w:rsidRPr="00D91C9A">
              <w:rPr>
                <w:bCs/>
              </w:rPr>
              <w:t>., погашено повністю;</w:t>
            </w:r>
            <w:r w:rsidRPr="00D91C9A">
              <w:rPr>
                <w:bCs/>
                <w:lang w:val="ru-RU"/>
              </w:rPr>
              <w:t xml:space="preserve"> 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bCs/>
              </w:rPr>
            </w:pPr>
            <w:r w:rsidRPr="00D91C9A">
              <w:rPr>
                <w:bCs/>
                <w:lang w:val="ru-RU"/>
              </w:rPr>
              <w:t xml:space="preserve">- </w:t>
            </w:r>
            <w:proofErr w:type="spellStart"/>
            <w:r w:rsidRPr="00D91C9A">
              <w:rPr>
                <w:bCs/>
              </w:rPr>
              <w:t>Теплицький</w:t>
            </w:r>
            <w:proofErr w:type="spellEnd"/>
            <w:r w:rsidRPr="00D91C9A">
              <w:rPr>
                <w:bCs/>
              </w:rPr>
              <w:t xml:space="preserve"> – на 154,8 </w:t>
            </w:r>
            <w:proofErr w:type="spellStart"/>
            <w:r w:rsidRPr="00D91C9A">
              <w:rPr>
                <w:bCs/>
              </w:rPr>
              <w:t>тис.грн</w:t>
            </w:r>
            <w:proofErr w:type="spellEnd"/>
            <w:r w:rsidRPr="00D91C9A">
              <w:rPr>
                <w:bCs/>
              </w:rPr>
              <w:t xml:space="preserve">. або на 22,2 (залишок 542 </w:t>
            </w:r>
            <w:proofErr w:type="spellStart"/>
            <w:r w:rsidRPr="00D91C9A">
              <w:rPr>
                <w:bCs/>
              </w:rPr>
              <w:t>тис.грн</w:t>
            </w:r>
            <w:proofErr w:type="spellEnd"/>
            <w:r w:rsidRPr="00D91C9A">
              <w:rPr>
                <w:bCs/>
              </w:rPr>
              <w:t>.);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bCs/>
                <w:lang w:val="ru-RU"/>
              </w:rPr>
            </w:pPr>
            <w:r w:rsidRPr="00D91C9A">
              <w:rPr>
                <w:bCs/>
                <w:lang w:val="ru-RU"/>
              </w:rPr>
              <w:t xml:space="preserve">та </w:t>
            </w:r>
            <w:proofErr w:type="spellStart"/>
            <w:r w:rsidRPr="00D91C9A">
              <w:rPr>
                <w:bCs/>
                <w:lang w:val="ru-RU"/>
              </w:rPr>
              <w:t>місто</w:t>
            </w:r>
            <w:proofErr w:type="spellEnd"/>
            <w:r w:rsidRPr="00D91C9A">
              <w:rPr>
                <w:bCs/>
                <w:lang w:val="ru-RU"/>
              </w:rPr>
              <w:t xml:space="preserve"> Жмеринка–</w:t>
            </w:r>
            <w:r w:rsidRPr="00D91C9A">
              <w:rPr>
                <w:bCs/>
              </w:rPr>
              <w:t xml:space="preserve"> на </w:t>
            </w:r>
            <w:r w:rsidRPr="00D91C9A">
              <w:rPr>
                <w:bCs/>
                <w:lang w:val="ru-RU"/>
              </w:rPr>
              <w:t>393,6</w:t>
            </w:r>
            <w:r w:rsidRPr="00D91C9A">
              <w:rPr>
                <w:bCs/>
              </w:rPr>
              <w:t xml:space="preserve"> </w:t>
            </w:r>
            <w:proofErr w:type="spellStart"/>
            <w:r w:rsidRPr="00D91C9A">
              <w:rPr>
                <w:bCs/>
              </w:rPr>
              <w:t>тис.грн</w:t>
            </w:r>
            <w:proofErr w:type="spellEnd"/>
            <w:r w:rsidRPr="00D91C9A">
              <w:rPr>
                <w:bCs/>
              </w:rPr>
              <w:t xml:space="preserve">. або в 2 рази (залишок 358,3 </w:t>
            </w:r>
            <w:proofErr w:type="spellStart"/>
            <w:r w:rsidRPr="00D91C9A">
              <w:rPr>
                <w:bCs/>
              </w:rPr>
              <w:t>тис.грн</w:t>
            </w:r>
            <w:proofErr w:type="spellEnd"/>
            <w:r w:rsidRPr="00D91C9A">
              <w:rPr>
                <w:bCs/>
              </w:rPr>
              <w:t>.)</w:t>
            </w:r>
            <w:r w:rsidRPr="00D91C9A">
              <w:rPr>
                <w:bCs/>
                <w:lang w:val="ru-RU"/>
              </w:rPr>
              <w:t>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В той же час у лютому 2016 року утворили борги із заробітної плати наступні райони: Вінницький – 111,9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та </w:t>
            </w:r>
            <w:proofErr w:type="spellStart"/>
            <w:r w:rsidRPr="00D91C9A">
              <w:t>Мурованокуриловецький</w:t>
            </w:r>
            <w:proofErr w:type="spellEnd"/>
            <w:r w:rsidRPr="00D91C9A">
              <w:t xml:space="preserve">– 184,4 </w:t>
            </w:r>
            <w:proofErr w:type="spellStart"/>
            <w:r w:rsidRPr="00D91C9A">
              <w:t>тис.грн</w:t>
            </w:r>
            <w:proofErr w:type="spellEnd"/>
            <w:r w:rsidRPr="00D91C9A">
              <w:t>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proofErr w:type="spellStart"/>
            <w:r w:rsidRPr="00D91C9A">
              <w:t>Найбільне</w:t>
            </w:r>
            <w:proofErr w:type="spellEnd"/>
            <w:r w:rsidRPr="00D91C9A">
              <w:t xml:space="preserve"> наростили борги із заробітної плати протягом лютого 2016 року на підприємствах та установах </w:t>
            </w:r>
            <w:proofErr w:type="spellStart"/>
            <w:r w:rsidRPr="00D91C9A">
              <w:t>Калинівського</w:t>
            </w:r>
            <w:proofErr w:type="spellEnd"/>
            <w:r w:rsidRPr="00D91C9A">
              <w:t xml:space="preserve"> району – в 2,4 рази або на 383,3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(борг становить 657,2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.), Тульчинського району – в 1,9 рази або на 217,4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(сума боргу складає 447,8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.) та Тростянецького району – на 22,9% або на 82,7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(сума боргу складає 444,5 </w:t>
            </w:r>
            <w:proofErr w:type="spellStart"/>
            <w:r w:rsidRPr="00D91C9A">
              <w:t>тис.грн</w:t>
            </w:r>
            <w:proofErr w:type="spellEnd"/>
            <w:r w:rsidRPr="00D91C9A">
              <w:t>.).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i/>
                <w:lang w:val="ru-RU"/>
              </w:rPr>
            </w:pPr>
            <w:r w:rsidRPr="00D91C9A">
              <w:lastRenderedPageBreak/>
              <w:t xml:space="preserve">Водночас серед міст обласного значення протягом лютого 2016 року наростили борги перед працівниками підприємства, організації та установи </w:t>
            </w:r>
            <w:proofErr w:type="spellStart"/>
            <w:r w:rsidRPr="00D91C9A">
              <w:t>м.Козятин</w:t>
            </w:r>
            <w:proofErr w:type="spellEnd"/>
            <w:r w:rsidRPr="00D91C9A">
              <w:t xml:space="preserve"> - на 168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., або в 2,1 рази (борг становить 322,3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.)  та </w:t>
            </w:r>
            <w:proofErr w:type="spellStart"/>
            <w:r w:rsidRPr="00D91C9A">
              <w:t>м.Вінниця</w:t>
            </w:r>
            <w:proofErr w:type="spellEnd"/>
            <w:r w:rsidRPr="00D91C9A">
              <w:t xml:space="preserve"> – на 369,3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або на 9% (борг становить 4461,5 </w:t>
            </w:r>
            <w:proofErr w:type="spellStart"/>
            <w:r w:rsidRPr="00D91C9A">
              <w:t>тис.грн</w:t>
            </w:r>
            <w:proofErr w:type="spellEnd"/>
            <w:r w:rsidRPr="00D91C9A">
              <w:t>.)</w:t>
            </w:r>
            <w:r w:rsidRPr="00D91C9A">
              <w:rPr>
                <w:i/>
                <w:lang w:val="ru-RU"/>
              </w:rPr>
              <w:t>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Не змінилась сума заборгованості протягом лютого 2016 року у Жмеринському районі (520,5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.), </w:t>
            </w:r>
            <w:proofErr w:type="spellStart"/>
            <w:r w:rsidRPr="00D91C9A">
              <w:t>Липовецькому</w:t>
            </w:r>
            <w:proofErr w:type="spellEnd"/>
            <w:r w:rsidRPr="00D91C9A">
              <w:t xml:space="preserve"> районі (563,8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.), </w:t>
            </w:r>
            <w:proofErr w:type="spellStart"/>
            <w:r w:rsidRPr="00D91C9A">
              <w:t>Липовецькому</w:t>
            </w:r>
            <w:proofErr w:type="spellEnd"/>
            <w:r w:rsidRPr="00D91C9A">
              <w:t xml:space="preserve"> районі (563,8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.), </w:t>
            </w:r>
            <w:proofErr w:type="spellStart"/>
            <w:r w:rsidRPr="00D91C9A">
              <w:t>Шаргородському</w:t>
            </w:r>
            <w:proofErr w:type="spellEnd"/>
            <w:r w:rsidRPr="00D91C9A">
              <w:t xml:space="preserve"> районі (140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.) та у </w:t>
            </w:r>
            <w:proofErr w:type="spellStart"/>
            <w:r w:rsidRPr="00D91C9A">
              <w:t>м.Могилів</w:t>
            </w:r>
            <w:proofErr w:type="spellEnd"/>
            <w:r w:rsidRPr="00D91C9A">
              <w:t xml:space="preserve">-Подільський (92,2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.), м </w:t>
            </w:r>
            <w:proofErr w:type="spellStart"/>
            <w:r w:rsidRPr="00D91C9A">
              <w:t>Ладижин</w:t>
            </w:r>
            <w:proofErr w:type="spellEnd"/>
            <w:r w:rsidRPr="00D91C9A">
              <w:t xml:space="preserve"> (2158,3 </w:t>
            </w:r>
            <w:proofErr w:type="spellStart"/>
            <w:r w:rsidRPr="00D91C9A">
              <w:t>тис.грн</w:t>
            </w:r>
            <w:proofErr w:type="spellEnd"/>
            <w:r w:rsidRPr="00D91C9A">
              <w:t>.).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>Найбільші суми боргу із зарплати станом на 01.03.2016 року серед районів: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i/>
              </w:rPr>
            </w:pPr>
            <w:r w:rsidRPr="00D91C9A">
              <w:t xml:space="preserve">- у </w:t>
            </w:r>
            <w:proofErr w:type="spellStart"/>
            <w:r w:rsidRPr="00D91C9A">
              <w:t>Калинівському</w:t>
            </w:r>
            <w:proofErr w:type="spellEnd"/>
            <w:r w:rsidRPr="00D91C9A">
              <w:t xml:space="preserve"> – 657,2 </w:t>
            </w:r>
            <w:proofErr w:type="spellStart"/>
            <w:r w:rsidRPr="00D91C9A">
              <w:t>тис.грн</w:t>
            </w:r>
            <w:proofErr w:type="spellEnd"/>
            <w:r w:rsidRPr="00D91C9A">
              <w:rPr>
                <w:i/>
              </w:rPr>
              <w:t xml:space="preserve">. (протягом лютого сума заборгованості із заробітної плати зросла в 2,4 рази або на 383,3 </w:t>
            </w:r>
            <w:proofErr w:type="spellStart"/>
            <w:r w:rsidRPr="00D91C9A">
              <w:rPr>
                <w:i/>
              </w:rPr>
              <w:t>тис.грн</w:t>
            </w:r>
            <w:proofErr w:type="spellEnd"/>
            <w:r w:rsidRPr="00D91C9A">
              <w:rPr>
                <w:i/>
              </w:rPr>
              <w:t>.);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i/>
              </w:rPr>
            </w:pPr>
            <w:r w:rsidRPr="00D91C9A">
              <w:t xml:space="preserve">- у </w:t>
            </w:r>
            <w:proofErr w:type="spellStart"/>
            <w:r w:rsidRPr="00D91C9A">
              <w:t>Липовецькому</w:t>
            </w:r>
            <w:proofErr w:type="spellEnd"/>
            <w:r w:rsidRPr="00D91C9A">
              <w:t xml:space="preserve"> - 563,8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>(протягом лютого сума заборгованості із заробітної плати не змінилась);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- у </w:t>
            </w:r>
            <w:proofErr w:type="spellStart"/>
            <w:r w:rsidRPr="00D91C9A">
              <w:t>Теплицькому</w:t>
            </w:r>
            <w:proofErr w:type="spellEnd"/>
            <w:r w:rsidRPr="00D91C9A">
              <w:t xml:space="preserve"> – 542 </w:t>
            </w:r>
            <w:proofErr w:type="spellStart"/>
            <w:r w:rsidRPr="00D91C9A">
              <w:t>тис.грн</w:t>
            </w:r>
            <w:proofErr w:type="spellEnd"/>
            <w:r w:rsidRPr="00D91C9A">
              <w:rPr>
                <w:i/>
              </w:rPr>
              <w:t xml:space="preserve">. (протягом лютого сума заборгованості із заробітної плати зменшилась на 22,2% або на 154,8 </w:t>
            </w:r>
            <w:proofErr w:type="spellStart"/>
            <w:r w:rsidRPr="00D91C9A">
              <w:rPr>
                <w:i/>
              </w:rPr>
              <w:t>тис.грн</w:t>
            </w:r>
            <w:proofErr w:type="spellEnd"/>
            <w:r w:rsidRPr="00D91C9A">
              <w:rPr>
                <w:i/>
              </w:rPr>
              <w:t>.);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  <w:rPr>
                <w:i/>
              </w:rPr>
            </w:pPr>
            <w:r w:rsidRPr="00D91C9A">
              <w:t xml:space="preserve">- у Жмеринському – 520,5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>(протягом лютого заборгованість не змінилась);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- у </w:t>
            </w:r>
            <w:proofErr w:type="spellStart"/>
            <w:r w:rsidRPr="00D91C9A">
              <w:t>Іллінецькому</w:t>
            </w:r>
            <w:proofErr w:type="spellEnd"/>
            <w:r w:rsidRPr="00D91C9A">
              <w:t xml:space="preserve"> – 479 </w:t>
            </w:r>
            <w:proofErr w:type="spellStart"/>
            <w:r w:rsidRPr="00D91C9A">
              <w:t>тис.грн</w:t>
            </w:r>
            <w:proofErr w:type="spellEnd"/>
            <w:r w:rsidRPr="00D91C9A">
              <w:t xml:space="preserve">. </w:t>
            </w:r>
            <w:r w:rsidRPr="00D91C9A">
              <w:rPr>
                <w:i/>
              </w:rPr>
              <w:t xml:space="preserve">(протягом лютого сума заборгованості із заробітної плати зросла на 3,9%  або на 18 </w:t>
            </w:r>
            <w:proofErr w:type="spellStart"/>
            <w:r w:rsidRPr="00D91C9A">
              <w:rPr>
                <w:i/>
              </w:rPr>
              <w:t>тис.грн</w:t>
            </w:r>
            <w:proofErr w:type="spellEnd"/>
            <w:r w:rsidRPr="00D91C9A">
              <w:rPr>
                <w:i/>
              </w:rPr>
              <w:t>.).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Серед міст обласного значення – у </w:t>
            </w:r>
            <w:proofErr w:type="spellStart"/>
            <w:r w:rsidRPr="00D91C9A">
              <w:t>м.Вінниця</w:t>
            </w:r>
            <w:proofErr w:type="spellEnd"/>
            <w:r w:rsidRPr="00D91C9A">
              <w:t xml:space="preserve"> борг складає 4461,9 </w:t>
            </w:r>
            <w:proofErr w:type="spellStart"/>
            <w:r w:rsidRPr="00D91C9A">
              <w:t>тис.грн</w:t>
            </w:r>
            <w:proofErr w:type="spellEnd"/>
            <w:r w:rsidRPr="00D91C9A">
              <w:t>. (</w:t>
            </w:r>
            <w:r w:rsidRPr="00D91C9A">
              <w:rPr>
                <w:i/>
              </w:rPr>
              <w:t xml:space="preserve">протягом лютого заборгованість зросла на 369,3 </w:t>
            </w:r>
            <w:proofErr w:type="spellStart"/>
            <w:r w:rsidRPr="00D91C9A">
              <w:rPr>
                <w:i/>
              </w:rPr>
              <w:t>тис.грн</w:t>
            </w:r>
            <w:proofErr w:type="spellEnd"/>
            <w:r w:rsidRPr="00D91C9A">
              <w:rPr>
                <w:i/>
              </w:rPr>
              <w:t xml:space="preserve">, або на 9%, її питома вага у загальній сумі боргу в цілому по області складає </w:t>
            </w:r>
            <w:r w:rsidRPr="00D91C9A">
              <w:t xml:space="preserve">38%) та у </w:t>
            </w:r>
            <w:proofErr w:type="spellStart"/>
            <w:r w:rsidRPr="00D91C9A">
              <w:t>м.Ладижин</w:t>
            </w:r>
            <w:proofErr w:type="spellEnd"/>
            <w:r w:rsidRPr="00D91C9A">
              <w:t xml:space="preserve"> — 2158,3 </w:t>
            </w:r>
            <w:proofErr w:type="spellStart"/>
            <w:r w:rsidRPr="00D91C9A">
              <w:t>тис.грн</w:t>
            </w:r>
            <w:proofErr w:type="spellEnd"/>
            <w:r w:rsidRPr="00D91C9A">
              <w:t>. (</w:t>
            </w:r>
            <w:r w:rsidRPr="00D91C9A">
              <w:rPr>
                <w:i/>
              </w:rPr>
              <w:t>протягом лютого заборгованість не змінилась, питома вага 118,4</w:t>
            </w:r>
            <w:r w:rsidRPr="00D91C9A">
              <w:t>%).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Станом на 1 березня 2016 року відсутні борги на економічно активних підприємствах  22 районів, у м. Могилів-Подільському, м. Хмільник та </w:t>
            </w:r>
            <w:proofErr w:type="spellStart"/>
            <w:r w:rsidRPr="00D91C9A">
              <w:t>м.Ладижин</w:t>
            </w:r>
            <w:proofErr w:type="spellEnd"/>
            <w:r w:rsidRPr="00D91C9A">
              <w:t xml:space="preserve">.    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Всього станом 01.03.2016 року борг на економічно активних підприємствах є у Вінницькому, </w:t>
            </w:r>
            <w:proofErr w:type="spellStart"/>
            <w:r w:rsidRPr="00D91C9A">
              <w:t>Іллінецькому</w:t>
            </w:r>
            <w:proofErr w:type="spellEnd"/>
            <w:r w:rsidRPr="00D91C9A">
              <w:t xml:space="preserve">, </w:t>
            </w:r>
            <w:proofErr w:type="spellStart"/>
            <w:r w:rsidRPr="00D91C9A">
              <w:t>Калинівському</w:t>
            </w:r>
            <w:proofErr w:type="spellEnd"/>
            <w:r w:rsidRPr="00D91C9A">
              <w:t xml:space="preserve">, </w:t>
            </w:r>
            <w:proofErr w:type="spellStart"/>
            <w:r w:rsidRPr="00D91C9A">
              <w:t>Мурованокуриловецькому</w:t>
            </w:r>
            <w:proofErr w:type="spellEnd"/>
            <w:r w:rsidRPr="00D91C9A">
              <w:t xml:space="preserve">,  та Тульчинському районах, а також 3 містах обласного значення (м. Вінниця, </w:t>
            </w:r>
            <w:proofErr w:type="spellStart"/>
            <w:r w:rsidRPr="00D91C9A">
              <w:t>м.Жмеринка</w:t>
            </w:r>
            <w:proofErr w:type="spellEnd"/>
            <w:r w:rsidRPr="00D91C9A">
              <w:t xml:space="preserve"> та </w:t>
            </w:r>
            <w:proofErr w:type="spellStart"/>
            <w:r w:rsidRPr="00D91C9A">
              <w:t>м.Козятин</w:t>
            </w:r>
            <w:proofErr w:type="spellEnd"/>
            <w:r w:rsidRPr="00D91C9A">
              <w:t xml:space="preserve">).  </w:t>
            </w:r>
          </w:p>
          <w:p w:rsidR="00731BBC" w:rsidRPr="00D91C9A" w:rsidRDefault="00731BBC" w:rsidP="00731BBC">
            <w:pPr>
              <w:suppressAutoHyphens/>
              <w:ind w:firstLine="709"/>
              <w:jc w:val="both"/>
            </w:pPr>
            <w:r w:rsidRPr="00D91C9A">
              <w:t xml:space="preserve">Заборгованість із заробітної плати </w:t>
            </w:r>
            <w:r w:rsidRPr="00D91C9A">
              <w:rPr>
                <w:u w:val="single"/>
              </w:rPr>
              <w:t>працівникам сільського господарства станом на 01.03.2016 р.</w:t>
            </w:r>
            <w:r w:rsidRPr="00D91C9A">
              <w:t xml:space="preserve"> залишається непогашеною у Барському районі </w:t>
            </w:r>
            <w:r w:rsidRPr="00D91C9A">
              <w:rPr>
                <w:i/>
              </w:rPr>
              <w:t xml:space="preserve">(підприємство-банкрут – 25,9 </w:t>
            </w:r>
            <w:proofErr w:type="spellStart"/>
            <w:r w:rsidRPr="00D91C9A">
              <w:rPr>
                <w:i/>
              </w:rPr>
              <w:t>тис.грн</w:t>
            </w:r>
            <w:proofErr w:type="spellEnd"/>
            <w:r w:rsidRPr="00D91C9A">
              <w:rPr>
                <w:i/>
              </w:rPr>
              <w:t>.).</w:t>
            </w:r>
            <w:r w:rsidRPr="00D91C9A">
              <w:t xml:space="preserve"> </w:t>
            </w:r>
          </w:p>
          <w:p w:rsidR="00C90834" w:rsidRPr="00D91C9A" w:rsidRDefault="00C90834" w:rsidP="00C90834">
            <w:pPr>
              <w:pStyle w:val="310"/>
              <w:ind w:firstLine="709"/>
              <w:rPr>
                <w:rFonts w:cs="Times New Roman"/>
                <w:sz w:val="24"/>
              </w:rPr>
            </w:pPr>
          </w:p>
        </w:tc>
      </w:tr>
      <w:tr w:rsidR="00EE6E44" w:rsidRPr="00D91C9A" w:rsidTr="00251ED5">
        <w:trPr>
          <w:trHeight w:val="100"/>
        </w:trPr>
        <w:tc>
          <w:tcPr>
            <w:tcW w:w="1063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F3E50" w:rsidRPr="00D91C9A" w:rsidRDefault="008F3E50" w:rsidP="00B90117">
            <w:pPr>
              <w:rPr>
                <w:b/>
                <w:iCs/>
              </w:rPr>
            </w:pPr>
          </w:p>
          <w:p w:rsidR="00EE6E44" w:rsidRPr="00D91C9A" w:rsidRDefault="00EE6E44" w:rsidP="00CB796B">
            <w:pPr>
              <w:ind w:firstLine="459"/>
              <w:jc w:val="center"/>
              <w:rPr>
                <w:lang w:val="en-US"/>
              </w:rPr>
            </w:pPr>
            <w:r w:rsidRPr="00D91C9A">
              <w:rPr>
                <w:b/>
                <w:iCs/>
              </w:rPr>
              <w:t>РОЗРАХУНКИ ЗА ЕНЕРГОНОСІЇ</w:t>
            </w:r>
          </w:p>
        </w:tc>
      </w:tr>
      <w:tr w:rsidR="005B3981" w:rsidRPr="00D91C9A" w:rsidTr="00251ED5">
        <w:trPr>
          <w:trHeight w:val="100"/>
        </w:trPr>
        <w:tc>
          <w:tcPr>
            <w:tcW w:w="1702" w:type="dxa"/>
            <w:shd w:val="clear" w:color="auto" w:fill="auto"/>
          </w:tcPr>
          <w:p w:rsidR="005B3981" w:rsidRPr="00D91C9A" w:rsidRDefault="005B3981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D91C9A">
              <w:rPr>
                <w:rFonts w:cs="Times New Roman"/>
                <w:b/>
                <w:i/>
                <w:iCs/>
                <w:sz w:val="24"/>
              </w:rPr>
              <w:t>Розр</w:t>
            </w:r>
            <w:r w:rsidR="001116C3" w:rsidRPr="00D91C9A">
              <w:rPr>
                <w:rFonts w:cs="Times New Roman"/>
                <w:b/>
                <w:i/>
                <w:iCs/>
                <w:sz w:val="24"/>
              </w:rPr>
              <w:t xml:space="preserve">ахунки за </w:t>
            </w:r>
            <w:proofErr w:type="spellStart"/>
            <w:r w:rsidRPr="00D91C9A">
              <w:rPr>
                <w:rFonts w:cs="Times New Roman"/>
                <w:b/>
                <w:i/>
                <w:iCs/>
                <w:sz w:val="24"/>
              </w:rPr>
              <w:t>електро</w:t>
            </w:r>
            <w:proofErr w:type="spellEnd"/>
            <w:r w:rsidR="001116C3" w:rsidRPr="00D91C9A">
              <w:rPr>
                <w:rFonts w:cs="Times New Roman"/>
                <w:b/>
                <w:i/>
                <w:iCs/>
                <w:sz w:val="24"/>
              </w:rPr>
              <w:t>-</w:t>
            </w:r>
            <w:r w:rsidRPr="00D91C9A">
              <w:rPr>
                <w:rFonts w:cs="Times New Roman"/>
                <w:b/>
                <w:i/>
                <w:iCs/>
                <w:sz w:val="24"/>
              </w:rPr>
              <w:t>енергію</w:t>
            </w:r>
          </w:p>
        </w:tc>
        <w:tc>
          <w:tcPr>
            <w:tcW w:w="8930" w:type="dxa"/>
            <w:shd w:val="clear" w:color="auto" w:fill="auto"/>
          </w:tcPr>
          <w:p w:rsidR="00C20562" w:rsidRPr="00D91C9A" w:rsidRDefault="00C20562" w:rsidP="00C20562">
            <w:pPr>
              <w:suppressAutoHyphens/>
              <w:snapToGrid w:val="0"/>
              <w:ind w:firstLine="357"/>
              <w:jc w:val="both"/>
            </w:pPr>
            <w:r w:rsidRPr="00D91C9A">
              <w:rPr>
                <w:bCs/>
                <w:iCs/>
              </w:rPr>
              <w:t xml:space="preserve">Рівень оплати за електроенергію </w:t>
            </w:r>
            <w:r w:rsidRPr="00D91C9A">
              <w:t xml:space="preserve">споживачами області при нормативних втратах електроенергії за січень-лютий 2016 року склав 97,7%, за відповідний період 2015 року цей показник становив 100,4%. Заборгованість за електроенергію за січень-лютий 2016 року збільшилась на 58,5 </w:t>
            </w:r>
            <w:proofErr w:type="spellStart"/>
            <w:r w:rsidRPr="00D91C9A">
              <w:t>млн.грн</w:t>
            </w:r>
            <w:proofErr w:type="spellEnd"/>
            <w:r w:rsidRPr="00D91C9A">
              <w:t xml:space="preserve">. або на 66,2% і станом на 1 березня 2016 року з урахуванням боргів минулих років становить 147,0 </w:t>
            </w:r>
            <w:proofErr w:type="spellStart"/>
            <w:r w:rsidRPr="00D91C9A">
              <w:t>млн.грн</w:t>
            </w:r>
            <w:proofErr w:type="spellEnd"/>
            <w:r w:rsidRPr="00D91C9A">
              <w:t>.. При рівні оплати 100% і вище борг може зростати за рахунок того, що фактичні втрати в електромережах вищі за нормативні.</w:t>
            </w:r>
          </w:p>
          <w:p w:rsidR="00C20562" w:rsidRPr="00D91C9A" w:rsidRDefault="00C20562" w:rsidP="00C20562">
            <w:pPr>
              <w:pStyle w:val="a7"/>
              <w:suppressAutoHyphens/>
              <w:ind w:firstLine="357"/>
              <w:rPr>
                <w:b w:val="0"/>
                <w:sz w:val="24"/>
              </w:rPr>
            </w:pPr>
            <w:r w:rsidRPr="00D91C9A">
              <w:rPr>
                <w:b w:val="0"/>
                <w:sz w:val="24"/>
              </w:rPr>
              <w:t>При цьому:</w:t>
            </w:r>
          </w:p>
          <w:p w:rsidR="00C20562" w:rsidRPr="00D91C9A" w:rsidRDefault="00C20562" w:rsidP="00C20562">
            <w:pPr>
              <w:pStyle w:val="a7"/>
              <w:numPr>
                <w:ilvl w:val="0"/>
                <w:numId w:val="4"/>
              </w:numPr>
              <w:suppressAutoHyphens/>
              <w:ind w:left="0" w:firstLine="357"/>
              <w:rPr>
                <w:b w:val="0"/>
                <w:sz w:val="24"/>
              </w:rPr>
            </w:pPr>
            <w:r w:rsidRPr="00D91C9A">
              <w:rPr>
                <w:b w:val="0"/>
                <w:sz w:val="24"/>
              </w:rPr>
              <w:t xml:space="preserve">заборгованість установ, що фінансуються з державного бюджету з початку року збільшилась на 6,2 </w:t>
            </w:r>
            <w:proofErr w:type="spellStart"/>
            <w:r w:rsidRPr="00D91C9A">
              <w:rPr>
                <w:b w:val="0"/>
                <w:sz w:val="24"/>
              </w:rPr>
              <w:t>млн.грн</w:t>
            </w:r>
            <w:proofErr w:type="spellEnd"/>
            <w:r w:rsidRPr="00D91C9A">
              <w:rPr>
                <w:b w:val="0"/>
                <w:sz w:val="24"/>
              </w:rPr>
              <w:t xml:space="preserve">. (в 2,8 </w:t>
            </w:r>
            <w:proofErr w:type="spellStart"/>
            <w:r w:rsidRPr="00D91C9A">
              <w:rPr>
                <w:b w:val="0"/>
                <w:sz w:val="24"/>
              </w:rPr>
              <w:t>раза</w:t>
            </w:r>
            <w:proofErr w:type="spellEnd"/>
            <w:r w:rsidRPr="00D91C9A">
              <w:rPr>
                <w:b w:val="0"/>
                <w:sz w:val="24"/>
              </w:rPr>
              <w:t xml:space="preserve">), борг станом на 01.03.2016 р. становить 8,5 </w:t>
            </w:r>
            <w:proofErr w:type="spellStart"/>
            <w:r w:rsidRPr="00D91C9A">
              <w:rPr>
                <w:b w:val="0"/>
                <w:sz w:val="24"/>
              </w:rPr>
              <w:t>млн.грн</w:t>
            </w:r>
            <w:proofErr w:type="spellEnd"/>
            <w:r w:rsidRPr="00D91C9A">
              <w:rPr>
                <w:b w:val="0"/>
                <w:sz w:val="24"/>
              </w:rPr>
              <w:t>.;</w:t>
            </w:r>
          </w:p>
          <w:p w:rsidR="00C20562" w:rsidRPr="00D91C9A" w:rsidRDefault="00C20562" w:rsidP="00C20562">
            <w:pPr>
              <w:pStyle w:val="a7"/>
              <w:numPr>
                <w:ilvl w:val="0"/>
                <w:numId w:val="4"/>
              </w:numPr>
              <w:suppressAutoHyphens/>
              <w:ind w:left="0" w:firstLine="357"/>
              <w:rPr>
                <w:b w:val="0"/>
                <w:sz w:val="24"/>
              </w:rPr>
            </w:pPr>
            <w:r w:rsidRPr="00D91C9A">
              <w:rPr>
                <w:b w:val="0"/>
                <w:sz w:val="24"/>
              </w:rPr>
              <w:t xml:space="preserve">заборгованість установ, що фінансуються з місцевого бюджету збільшилась з початку року на 2,7 </w:t>
            </w:r>
            <w:proofErr w:type="spellStart"/>
            <w:r w:rsidRPr="00D91C9A">
              <w:rPr>
                <w:b w:val="0"/>
                <w:sz w:val="24"/>
              </w:rPr>
              <w:t>млн.грн</w:t>
            </w:r>
            <w:proofErr w:type="spellEnd"/>
            <w:r w:rsidRPr="00D91C9A">
              <w:rPr>
                <w:b w:val="0"/>
                <w:sz w:val="24"/>
              </w:rPr>
              <w:t xml:space="preserve">. (в 13 раз), борг станом на 01.03.2016 р. становить       2,9 </w:t>
            </w:r>
            <w:proofErr w:type="spellStart"/>
            <w:r w:rsidRPr="00D91C9A">
              <w:rPr>
                <w:b w:val="0"/>
                <w:sz w:val="24"/>
              </w:rPr>
              <w:t>млн.грн</w:t>
            </w:r>
            <w:proofErr w:type="spellEnd"/>
            <w:r w:rsidRPr="00D91C9A">
              <w:rPr>
                <w:b w:val="0"/>
                <w:sz w:val="24"/>
              </w:rPr>
              <w:t>.;</w:t>
            </w:r>
          </w:p>
          <w:p w:rsidR="00C20562" w:rsidRPr="00D91C9A" w:rsidRDefault="00C20562" w:rsidP="00C20562">
            <w:pPr>
              <w:pStyle w:val="a7"/>
              <w:numPr>
                <w:ilvl w:val="0"/>
                <w:numId w:val="4"/>
              </w:numPr>
              <w:suppressAutoHyphens/>
              <w:ind w:left="0" w:firstLine="357"/>
              <w:rPr>
                <w:b w:val="0"/>
                <w:sz w:val="24"/>
              </w:rPr>
            </w:pPr>
            <w:r w:rsidRPr="00D91C9A">
              <w:rPr>
                <w:b w:val="0"/>
                <w:sz w:val="24"/>
              </w:rPr>
              <w:t xml:space="preserve">заборгованість бюджетів по субсидіях та пільгах населенню порівняно з початком 2016 року збільшилась на 25,2 </w:t>
            </w:r>
            <w:proofErr w:type="spellStart"/>
            <w:r w:rsidRPr="00D91C9A">
              <w:rPr>
                <w:b w:val="0"/>
                <w:sz w:val="24"/>
              </w:rPr>
              <w:t>млн.грн</w:t>
            </w:r>
            <w:proofErr w:type="spellEnd"/>
            <w:r w:rsidRPr="00D91C9A">
              <w:rPr>
                <w:b w:val="0"/>
                <w:sz w:val="24"/>
              </w:rPr>
              <w:t>. (в 2 рази) – борг станом на 01.03.2016 р. становить 48,4 млн. грн.</w:t>
            </w:r>
            <w:r w:rsidRPr="00D91C9A">
              <w:rPr>
                <w:b w:val="0"/>
                <w:sz w:val="24"/>
                <w:lang w:val="ru-RU"/>
              </w:rPr>
              <w:t>.</w:t>
            </w:r>
          </w:p>
          <w:p w:rsidR="00C20562" w:rsidRPr="00D91C9A" w:rsidRDefault="00C20562" w:rsidP="00C20562">
            <w:pPr>
              <w:tabs>
                <w:tab w:val="left" w:pos="579"/>
              </w:tabs>
              <w:suppressAutoHyphens/>
              <w:ind w:firstLine="357"/>
              <w:jc w:val="both"/>
            </w:pPr>
            <w:r w:rsidRPr="00D91C9A">
              <w:t xml:space="preserve">В 22 районах області та </w:t>
            </w:r>
            <w:proofErr w:type="spellStart"/>
            <w:r w:rsidRPr="00D91C9A">
              <w:t>м.Вінниці</w:t>
            </w:r>
            <w:proofErr w:type="spellEnd"/>
            <w:r w:rsidRPr="00D91C9A">
              <w:t xml:space="preserve"> рівень оплати за січень-лютий 2016 року при нормативних втратах склався нижче 100%. Найвищий рівень оплати в наступних </w:t>
            </w:r>
            <w:r w:rsidRPr="00D91C9A">
              <w:lastRenderedPageBreak/>
              <w:t xml:space="preserve">районах: </w:t>
            </w:r>
            <w:proofErr w:type="spellStart"/>
            <w:r w:rsidRPr="00D91C9A">
              <w:t>Мурованокуриловецькому</w:t>
            </w:r>
            <w:proofErr w:type="spellEnd"/>
            <w:r w:rsidRPr="00D91C9A">
              <w:t xml:space="preserve"> (108,0%), </w:t>
            </w:r>
            <w:proofErr w:type="spellStart"/>
            <w:r w:rsidRPr="00D91C9A">
              <w:t>Крижопільському</w:t>
            </w:r>
            <w:proofErr w:type="spellEnd"/>
            <w:r w:rsidRPr="00D91C9A">
              <w:t xml:space="preserve"> (102,7%) та </w:t>
            </w:r>
            <w:proofErr w:type="spellStart"/>
            <w:r w:rsidRPr="00D91C9A">
              <w:t>Іллінецькому</w:t>
            </w:r>
            <w:proofErr w:type="spellEnd"/>
            <w:r w:rsidRPr="00D91C9A">
              <w:t xml:space="preserve"> (101,5%). Найнижчий рівень оплати в </w:t>
            </w:r>
            <w:proofErr w:type="spellStart"/>
            <w:r w:rsidRPr="00D91C9A">
              <w:t>Піщанському</w:t>
            </w:r>
            <w:proofErr w:type="spellEnd"/>
            <w:r w:rsidRPr="00D91C9A">
              <w:t xml:space="preserve"> (92,7%), Жмеринському (93,2%) та Бершадському (94,3%) районах.</w:t>
            </w:r>
          </w:p>
          <w:p w:rsidR="005B3981" w:rsidRPr="00D91C9A" w:rsidRDefault="005B3981" w:rsidP="00D81982">
            <w:pPr>
              <w:pStyle w:val="a7"/>
              <w:ind w:left="357"/>
              <w:rPr>
                <w:b w:val="0"/>
                <w:sz w:val="24"/>
              </w:rPr>
            </w:pPr>
          </w:p>
        </w:tc>
      </w:tr>
      <w:tr w:rsidR="001116C3" w:rsidRPr="00D91C9A" w:rsidTr="000E5B5F">
        <w:trPr>
          <w:trHeight w:val="100"/>
        </w:trPr>
        <w:tc>
          <w:tcPr>
            <w:tcW w:w="1702" w:type="dxa"/>
            <w:shd w:val="clear" w:color="auto" w:fill="auto"/>
          </w:tcPr>
          <w:p w:rsidR="001116C3" w:rsidRPr="00D91C9A" w:rsidRDefault="001116C3" w:rsidP="00CB796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D91C9A">
              <w:rPr>
                <w:b/>
                <w:i/>
                <w:iCs/>
                <w:sz w:val="24"/>
              </w:rPr>
              <w:lastRenderedPageBreak/>
              <w:t>Розрахунки за природний газ</w:t>
            </w:r>
          </w:p>
          <w:p w:rsidR="001116C3" w:rsidRPr="00D91C9A" w:rsidRDefault="001116C3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iCs/>
                <w:sz w:val="24"/>
              </w:rPr>
            </w:pPr>
          </w:p>
        </w:tc>
        <w:tc>
          <w:tcPr>
            <w:tcW w:w="8930" w:type="dxa"/>
            <w:shd w:val="clear" w:color="auto" w:fill="FFFFFF" w:themeFill="background1"/>
          </w:tcPr>
          <w:p w:rsidR="00C20562" w:rsidRPr="00D91C9A" w:rsidRDefault="00C20562" w:rsidP="00C20562">
            <w:pPr>
              <w:suppressAutoHyphens/>
              <w:ind w:firstLine="709"/>
              <w:jc w:val="both"/>
              <w:rPr>
                <w:b/>
                <w:bCs/>
              </w:rPr>
            </w:pPr>
            <w:r w:rsidRPr="00D91C9A">
              <w:rPr>
                <w:bCs/>
                <w:iCs/>
              </w:rPr>
              <w:t xml:space="preserve">Рівень оплати за спожитий природний газ </w:t>
            </w:r>
            <w:r w:rsidRPr="00D91C9A">
              <w:t xml:space="preserve">населенням та бюджетними установами області за січень-лютий 2016 року склав 25,3%, а загальна заборгованість, </w:t>
            </w:r>
            <w:r w:rsidRPr="00D91C9A">
              <w:rPr>
                <w:bCs/>
              </w:rPr>
              <w:t>з урахуванням боргів минулих періодів,</w:t>
            </w:r>
            <w:r w:rsidRPr="00D91C9A">
              <w:t xml:space="preserve"> становить 653,4 </w:t>
            </w:r>
            <w:proofErr w:type="spellStart"/>
            <w:r w:rsidRPr="00D91C9A">
              <w:rPr>
                <w:bCs/>
              </w:rPr>
              <w:t>млн.грн</w:t>
            </w:r>
            <w:proofErr w:type="spellEnd"/>
            <w:r w:rsidRPr="00D91C9A">
              <w:rPr>
                <w:bCs/>
              </w:rPr>
              <w:t>. в тому числі: перед ПАТ «</w:t>
            </w:r>
            <w:proofErr w:type="spellStart"/>
            <w:r w:rsidRPr="00D91C9A">
              <w:rPr>
                <w:bCs/>
              </w:rPr>
              <w:t>Вінницягаз</w:t>
            </w:r>
            <w:proofErr w:type="spellEnd"/>
            <w:r w:rsidRPr="00D91C9A">
              <w:rPr>
                <w:bCs/>
              </w:rPr>
              <w:t>» (з липня 2015 року не реалізовує природний газ) - 53,0 млн. грн. та перед ТОВ «</w:t>
            </w:r>
            <w:proofErr w:type="spellStart"/>
            <w:r w:rsidRPr="00D91C9A">
              <w:rPr>
                <w:bCs/>
              </w:rPr>
              <w:t>Вінницягаз</w:t>
            </w:r>
            <w:proofErr w:type="spellEnd"/>
            <w:r w:rsidRPr="00D91C9A">
              <w:rPr>
                <w:bCs/>
              </w:rPr>
              <w:t xml:space="preserve"> збут» (створеним в липні 2015 року) 600</w:t>
            </w:r>
            <w:r w:rsidRPr="00D91C9A">
              <w:t xml:space="preserve">,4 </w:t>
            </w:r>
            <w:r w:rsidRPr="00D91C9A">
              <w:rPr>
                <w:bCs/>
              </w:rPr>
              <w:t>млн. грн.. Таким чином, в порівнянні з відповідним періодом минулого року загальна заборгованість даних категорій споживачів зросла в 5,0 раз.</w:t>
            </w:r>
          </w:p>
          <w:p w:rsidR="00C20562" w:rsidRPr="00D91C9A" w:rsidRDefault="00C20562" w:rsidP="00C20562">
            <w:pPr>
              <w:suppressAutoHyphens/>
              <w:ind w:firstLine="709"/>
              <w:jc w:val="both"/>
              <w:rPr>
                <w:bCs/>
              </w:rPr>
            </w:pPr>
            <w:r w:rsidRPr="00D91C9A">
              <w:rPr>
                <w:bCs/>
              </w:rPr>
              <w:t xml:space="preserve">Щодо структури розрахунків </w:t>
            </w:r>
            <w:r w:rsidRPr="00D91C9A">
              <w:rPr>
                <w:bCs/>
                <w:iCs/>
              </w:rPr>
              <w:t xml:space="preserve">за спожитий природний газ </w:t>
            </w:r>
            <w:r w:rsidRPr="00D91C9A">
              <w:t xml:space="preserve">населенням та бюджетними установами області станом на 01.03.2016 року </w:t>
            </w:r>
            <w:r w:rsidRPr="00D91C9A">
              <w:rPr>
                <w:bCs/>
              </w:rPr>
              <w:t>перед ТОВ «</w:t>
            </w:r>
            <w:proofErr w:type="spellStart"/>
            <w:r w:rsidRPr="00D91C9A">
              <w:rPr>
                <w:bCs/>
              </w:rPr>
              <w:t>Вінницягаз</w:t>
            </w:r>
            <w:proofErr w:type="spellEnd"/>
            <w:r w:rsidRPr="00D91C9A">
              <w:rPr>
                <w:bCs/>
              </w:rPr>
              <w:t xml:space="preserve"> збут»: </w:t>
            </w:r>
          </w:p>
          <w:p w:rsidR="00C20562" w:rsidRPr="00D91C9A" w:rsidRDefault="00C20562" w:rsidP="00C20562">
            <w:pPr>
              <w:numPr>
                <w:ilvl w:val="0"/>
                <w:numId w:val="4"/>
              </w:numPr>
              <w:tabs>
                <w:tab w:val="left" w:pos="1054"/>
              </w:tabs>
              <w:suppressAutoHyphens/>
              <w:ind w:left="0" w:firstLine="709"/>
              <w:jc w:val="both"/>
              <w:rPr>
                <w:bCs/>
              </w:rPr>
            </w:pPr>
            <w:r w:rsidRPr="00D91C9A">
              <w:rPr>
                <w:bCs/>
              </w:rPr>
              <w:t>заборгованість бюджетними установами та організаціями становить 19,3 млн. грн. (по ПАТ «</w:t>
            </w:r>
            <w:proofErr w:type="spellStart"/>
            <w:r w:rsidRPr="00D91C9A">
              <w:rPr>
                <w:bCs/>
              </w:rPr>
              <w:t>Вінницягаз</w:t>
            </w:r>
            <w:proofErr w:type="spellEnd"/>
            <w:r w:rsidRPr="00D91C9A">
              <w:rPr>
                <w:bCs/>
              </w:rPr>
              <w:t xml:space="preserve">» </w:t>
            </w:r>
            <w:proofErr w:type="spellStart"/>
            <w:r w:rsidRPr="00D91C9A">
              <w:rPr>
                <w:bCs/>
              </w:rPr>
              <w:t>прокредитовано</w:t>
            </w:r>
            <w:proofErr w:type="spellEnd"/>
            <w:r w:rsidRPr="00D91C9A">
              <w:rPr>
                <w:bCs/>
              </w:rPr>
              <w:t xml:space="preserve"> 1,2 млн. грн.);</w:t>
            </w:r>
          </w:p>
          <w:p w:rsidR="00C20562" w:rsidRPr="00D91C9A" w:rsidRDefault="00C20562" w:rsidP="00C20562">
            <w:pPr>
              <w:numPr>
                <w:ilvl w:val="0"/>
                <w:numId w:val="4"/>
              </w:numPr>
              <w:tabs>
                <w:tab w:val="left" w:pos="1054"/>
              </w:tabs>
              <w:suppressAutoHyphens/>
              <w:ind w:left="0" w:firstLine="709"/>
              <w:jc w:val="both"/>
              <w:rPr>
                <w:bCs/>
              </w:rPr>
            </w:pPr>
            <w:r w:rsidRPr="00D91C9A">
              <w:rPr>
                <w:bCs/>
              </w:rPr>
              <w:t>заборгованість населенням всього - 581,1 млн. грн. (по ПАТ «</w:t>
            </w:r>
            <w:proofErr w:type="spellStart"/>
            <w:r w:rsidRPr="00D91C9A">
              <w:rPr>
                <w:bCs/>
              </w:rPr>
              <w:t>Вінницягаз</w:t>
            </w:r>
            <w:proofErr w:type="spellEnd"/>
            <w:r w:rsidRPr="00D91C9A">
              <w:rPr>
                <w:bCs/>
              </w:rPr>
              <w:t xml:space="preserve">» заборгованість 54,1 млн. грн. ) </w:t>
            </w:r>
            <w:proofErr w:type="spellStart"/>
            <w:r w:rsidRPr="00D91C9A">
              <w:rPr>
                <w:bCs/>
              </w:rPr>
              <w:t>в.т.ч</w:t>
            </w:r>
            <w:proofErr w:type="spellEnd"/>
            <w:r w:rsidRPr="00D91C9A">
              <w:rPr>
                <w:bCs/>
              </w:rPr>
              <w:t>.:</w:t>
            </w:r>
          </w:p>
          <w:p w:rsidR="00C20562" w:rsidRPr="00D91C9A" w:rsidRDefault="00C20562" w:rsidP="00C20562">
            <w:pPr>
              <w:tabs>
                <w:tab w:val="left" w:pos="1054"/>
              </w:tabs>
              <w:suppressAutoHyphens/>
              <w:ind w:firstLine="709"/>
              <w:jc w:val="both"/>
              <w:rPr>
                <w:bCs/>
              </w:rPr>
            </w:pPr>
            <w:r w:rsidRPr="00D91C9A">
              <w:rPr>
                <w:bCs/>
              </w:rPr>
              <w:t xml:space="preserve">- безпосередньо населенням – </w:t>
            </w:r>
            <w:proofErr w:type="spellStart"/>
            <w:r w:rsidRPr="00D91C9A">
              <w:rPr>
                <w:bCs/>
              </w:rPr>
              <w:t>прокредитовано</w:t>
            </w:r>
            <w:proofErr w:type="spellEnd"/>
            <w:r w:rsidRPr="00D91C9A">
              <w:rPr>
                <w:bCs/>
              </w:rPr>
              <w:t xml:space="preserve"> 780,5 млн. грн. (по ПАТ «</w:t>
            </w:r>
            <w:proofErr w:type="spellStart"/>
            <w:r w:rsidRPr="00D91C9A">
              <w:rPr>
                <w:bCs/>
              </w:rPr>
              <w:t>Вінницягаз</w:t>
            </w:r>
            <w:proofErr w:type="spellEnd"/>
            <w:r w:rsidRPr="00D91C9A">
              <w:rPr>
                <w:bCs/>
              </w:rPr>
              <w:t>» заборгованість 54,1 млн. грн. );</w:t>
            </w:r>
          </w:p>
          <w:p w:rsidR="00C20562" w:rsidRPr="00D91C9A" w:rsidRDefault="00C20562" w:rsidP="00C20562">
            <w:pPr>
              <w:tabs>
                <w:tab w:val="left" w:pos="1054"/>
              </w:tabs>
              <w:suppressAutoHyphens/>
              <w:ind w:firstLine="709"/>
              <w:jc w:val="both"/>
              <w:rPr>
                <w:bCs/>
              </w:rPr>
            </w:pPr>
            <w:r w:rsidRPr="00D91C9A">
              <w:rPr>
                <w:bCs/>
              </w:rPr>
              <w:t>- по пільгах населенню – 85,3 млн. грн.. (по ПАТ «</w:t>
            </w:r>
            <w:proofErr w:type="spellStart"/>
            <w:r w:rsidRPr="00D91C9A">
              <w:rPr>
                <w:bCs/>
              </w:rPr>
              <w:t>Вінницягаз</w:t>
            </w:r>
            <w:proofErr w:type="spellEnd"/>
            <w:r w:rsidRPr="00D91C9A">
              <w:rPr>
                <w:bCs/>
              </w:rPr>
              <w:t>» заборгованість відсутня);</w:t>
            </w:r>
          </w:p>
          <w:p w:rsidR="00C20562" w:rsidRPr="00D91C9A" w:rsidRDefault="00C20562" w:rsidP="00C20562">
            <w:pPr>
              <w:tabs>
                <w:tab w:val="left" w:pos="1054"/>
              </w:tabs>
              <w:suppressAutoHyphens/>
              <w:ind w:firstLine="709"/>
              <w:jc w:val="both"/>
              <w:rPr>
                <w:bCs/>
              </w:rPr>
            </w:pPr>
            <w:r w:rsidRPr="00D91C9A">
              <w:rPr>
                <w:bCs/>
              </w:rPr>
              <w:t>- по субсидіях  населенню – 1276,1 млн. грн. (по ПАТ «</w:t>
            </w:r>
            <w:proofErr w:type="spellStart"/>
            <w:r w:rsidRPr="00D91C9A">
              <w:rPr>
                <w:bCs/>
              </w:rPr>
              <w:t>Вінницягаз</w:t>
            </w:r>
            <w:proofErr w:type="spellEnd"/>
            <w:r w:rsidRPr="00D91C9A">
              <w:rPr>
                <w:bCs/>
              </w:rPr>
              <w:t>» заборгованість відсутня).</w:t>
            </w:r>
          </w:p>
          <w:p w:rsidR="00D81982" w:rsidRPr="00D91C9A" w:rsidRDefault="00D81982" w:rsidP="006A63EB">
            <w:pPr>
              <w:suppressAutoHyphens/>
              <w:ind w:firstLine="709"/>
              <w:jc w:val="both"/>
            </w:pPr>
          </w:p>
          <w:p w:rsidR="00095901" w:rsidRPr="00D91C9A" w:rsidRDefault="00095901" w:rsidP="00F10F55">
            <w:pPr>
              <w:suppressAutoHyphens/>
              <w:ind w:firstLine="459"/>
              <w:jc w:val="both"/>
            </w:pPr>
          </w:p>
        </w:tc>
      </w:tr>
      <w:tr w:rsidR="001116C3" w:rsidRPr="00D91C9A" w:rsidTr="00251ED5">
        <w:trPr>
          <w:trHeight w:val="100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1116C3" w:rsidRPr="00D91C9A" w:rsidRDefault="001116C3" w:rsidP="00CB796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D91C9A">
              <w:rPr>
                <w:b/>
                <w:i/>
                <w:iCs/>
                <w:sz w:val="24"/>
              </w:rPr>
              <w:t>Розрахунки за житлово-комунальні послуги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C20562" w:rsidRPr="00D91C9A" w:rsidRDefault="00C20562" w:rsidP="00C20562">
            <w:pPr>
              <w:suppressAutoHyphens/>
              <w:ind w:firstLine="709"/>
              <w:jc w:val="both"/>
            </w:pPr>
            <w:r w:rsidRPr="00D91C9A">
              <w:rPr>
                <w:b/>
                <w:i/>
              </w:rPr>
              <w:t>Рівень оплати за житлово-комунальні послуги</w:t>
            </w:r>
            <w:r w:rsidRPr="00D91C9A">
              <w:t xml:space="preserve"> населенням області за січень-лютий 2016 року становить 142,5%, за відповідний період минулого року рівень оплати становив 101,2%.</w:t>
            </w:r>
          </w:p>
          <w:p w:rsidR="00C20562" w:rsidRPr="00D91C9A" w:rsidRDefault="00C20562" w:rsidP="00C20562">
            <w:pPr>
              <w:suppressAutoHyphens/>
              <w:ind w:firstLine="709"/>
              <w:jc w:val="both"/>
            </w:pPr>
            <w:r w:rsidRPr="00D91C9A">
              <w:t xml:space="preserve">Рівень оплати нижче 100% за житлово-комунальні послуги станом на 01.03.2016  року склався у 9 районах області та </w:t>
            </w:r>
            <w:proofErr w:type="spellStart"/>
            <w:r w:rsidRPr="00D91C9A">
              <w:t>м.Вінниці</w:t>
            </w:r>
            <w:proofErr w:type="spellEnd"/>
            <w:r w:rsidRPr="00D91C9A">
              <w:t>.</w:t>
            </w:r>
          </w:p>
          <w:p w:rsidR="00C20562" w:rsidRPr="00D91C9A" w:rsidRDefault="00C20562" w:rsidP="00C20562">
            <w:pPr>
              <w:suppressAutoHyphens/>
              <w:ind w:firstLine="709"/>
              <w:jc w:val="both"/>
            </w:pPr>
            <w:r w:rsidRPr="00D91C9A">
              <w:t xml:space="preserve">При цьому серед районів та міст обласного значення найнижчий рівень оплати спостерігається в: </w:t>
            </w:r>
            <w:proofErr w:type="spellStart"/>
            <w:r w:rsidRPr="00D91C9A">
              <w:t>Немирівському</w:t>
            </w:r>
            <w:proofErr w:type="spellEnd"/>
            <w:r w:rsidRPr="00D91C9A">
              <w:t xml:space="preserve"> (39,4%)</w:t>
            </w:r>
            <w:r w:rsidRPr="00D91C9A">
              <w:rPr>
                <w:lang w:val="ru-RU"/>
              </w:rPr>
              <w:t>,</w:t>
            </w:r>
            <w:r w:rsidRPr="00D91C9A">
              <w:t xml:space="preserve"> Могилів-Подільському</w:t>
            </w:r>
            <w:r w:rsidRPr="00D91C9A">
              <w:rPr>
                <w:lang w:val="ru-RU"/>
              </w:rPr>
              <w:t xml:space="preserve"> (83,8%) </w:t>
            </w:r>
            <w:r w:rsidRPr="00D91C9A">
              <w:t xml:space="preserve">та </w:t>
            </w:r>
            <w:proofErr w:type="spellStart"/>
            <w:r w:rsidRPr="00D91C9A">
              <w:t>Піщанському</w:t>
            </w:r>
            <w:proofErr w:type="spellEnd"/>
            <w:r w:rsidRPr="00D91C9A">
              <w:t xml:space="preserve"> (90,2%) районах.</w:t>
            </w:r>
          </w:p>
          <w:p w:rsidR="001116C3" w:rsidRPr="00D91C9A" w:rsidRDefault="001116C3" w:rsidP="006A63EB">
            <w:pPr>
              <w:suppressAutoHyphens/>
              <w:ind w:firstLine="709"/>
              <w:jc w:val="both"/>
            </w:pPr>
          </w:p>
        </w:tc>
      </w:tr>
      <w:tr w:rsidR="001116C3" w:rsidRPr="00D91C9A" w:rsidTr="00251ED5">
        <w:trPr>
          <w:trHeight w:val="100"/>
        </w:trPr>
        <w:tc>
          <w:tcPr>
            <w:tcW w:w="1063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F3E50" w:rsidRPr="00D91C9A" w:rsidRDefault="008F3E50" w:rsidP="00CB796B">
            <w:pPr>
              <w:suppressAutoHyphens/>
              <w:ind w:firstLine="459"/>
              <w:jc w:val="center"/>
              <w:rPr>
                <w:b/>
              </w:rPr>
            </w:pPr>
          </w:p>
          <w:p w:rsidR="001116C3" w:rsidRPr="00D91C9A" w:rsidRDefault="001116C3" w:rsidP="00CB796B">
            <w:pPr>
              <w:suppressAutoHyphens/>
              <w:ind w:firstLine="459"/>
              <w:jc w:val="center"/>
              <w:rPr>
                <w:b/>
                <w:i/>
              </w:rPr>
            </w:pPr>
            <w:r w:rsidRPr="00D91C9A">
              <w:rPr>
                <w:b/>
              </w:rPr>
              <w:t>ТОРГІВЛЯ ТА СФЕРА ПОСЛУГ</w:t>
            </w:r>
          </w:p>
        </w:tc>
      </w:tr>
      <w:tr w:rsidR="001116C3" w:rsidRPr="00F353B8" w:rsidTr="00251ED5">
        <w:trPr>
          <w:trHeight w:val="100"/>
        </w:trPr>
        <w:tc>
          <w:tcPr>
            <w:tcW w:w="1702" w:type="dxa"/>
            <w:shd w:val="clear" w:color="auto" w:fill="auto"/>
          </w:tcPr>
          <w:p w:rsidR="001116C3" w:rsidRPr="00D91C9A" w:rsidRDefault="001116C3" w:rsidP="00CB796B">
            <w:pPr>
              <w:pStyle w:val="32"/>
              <w:snapToGrid w:val="0"/>
              <w:spacing w:after="0"/>
              <w:jc w:val="both"/>
              <w:rPr>
                <w:b/>
                <w:i/>
                <w:iCs/>
                <w:sz w:val="24"/>
                <w:szCs w:val="24"/>
              </w:rPr>
            </w:pPr>
            <w:r w:rsidRPr="00D91C9A">
              <w:rPr>
                <w:b/>
                <w:i/>
                <w:iCs/>
                <w:sz w:val="24"/>
                <w:szCs w:val="24"/>
              </w:rPr>
              <w:t>Товарооборот області</w:t>
            </w:r>
          </w:p>
        </w:tc>
        <w:tc>
          <w:tcPr>
            <w:tcW w:w="8930" w:type="dxa"/>
            <w:shd w:val="clear" w:color="auto" w:fill="auto"/>
          </w:tcPr>
          <w:p w:rsidR="006E0CAE" w:rsidRPr="00D91C9A" w:rsidRDefault="006E0CAE" w:rsidP="006E0CAE">
            <w:pPr>
              <w:suppressAutoHyphens/>
              <w:ind w:firstLine="709"/>
              <w:jc w:val="both"/>
            </w:pPr>
            <w:r w:rsidRPr="00D91C9A">
              <w:t>Товарооборот роздрібної торгівлі області за січень-лютий  2016 року склав - 5 мільярдів 050 мільйонів  гривень,  і зріс  в  порівняних цінах до відповідного періоду минулого року на 5,5% (по Україні зменшився на 1,7 %).</w:t>
            </w:r>
          </w:p>
          <w:p w:rsidR="006E0CAE" w:rsidRPr="00D91C9A" w:rsidRDefault="006E0CAE" w:rsidP="006E0CAE">
            <w:pPr>
              <w:suppressAutoHyphens/>
              <w:ind w:firstLine="709"/>
              <w:jc w:val="both"/>
            </w:pPr>
            <w:r w:rsidRPr="00D91C9A">
              <w:t>За темпами  зростання обороту роздрібної торгівлі  за січень- лютий поточного року область займає  6 місце серед регіонів України.</w:t>
            </w:r>
          </w:p>
          <w:p w:rsidR="006E0CAE" w:rsidRPr="006E0CAE" w:rsidRDefault="006E0CAE" w:rsidP="006E0CAE">
            <w:pPr>
              <w:suppressAutoHyphens/>
              <w:ind w:firstLine="709"/>
              <w:jc w:val="both"/>
            </w:pPr>
            <w:r w:rsidRPr="00D91C9A">
              <w:t>Обсяг реалізованих послуг за 2015 рік склав - 6090,5 млн. грн., в тому числі обсяг послуг, реалізованих населенню - 2406,2 млн. грн., що становить 39,5 %  від загальних обсягів послуг.</w:t>
            </w:r>
          </w:p>
          <w:p w:rsidR="001116C3" w:rsidRPr="00A77A09" w:rsidRDefault="001116C3" w:rsidP="00CF4BBF">
            <w:pPr>
              <w:suppressAutoHyphens/>
              <w:ind w:firstLine="709"/>
              <w:jc w:val="both"/>
            </w:pPr>
          </w:p>
        </w:tc>
      </w:tr>
    </w:tbl>
    <w:p w:rsidR="00C573CC" w:rsidRPr="00F353B8" w:rsidRDefault="00C573CC" w:rsidP="00CB796B">
      <w:pPr>
        <w:pStyle w:val="32"/>
        <w:spacing w:after="0"/>
        <w:rPr>
          <w:b/>
          <w:i/>
          <w:sz w:val="24"/>
          <w:szCs w:val="24"/>
          <w:u w:val="single"/>
        </w:rPr>
      </w:pPr>
    </w:p>
    <w:p w:rsidR="00C573CC" w:rsidRPr="00F353B8" w:rsidRDefault="00C573CC" w:rsidP="00CB796B">
      <w:pPr>
        <w:pStyle w:val="32"/>
        <w:spacing w:after="0"/>
        <w:rPr>
          <w:b/>
          <w:i/>
          <w:sz w:val="24"/>
          <w:szCs w:val="24"/>
          <w:u w:val="single"/>
        </w:rPr>
      </w:pPr>
    </w:p>
    <w:p w:rsidR="00C573CC" w:rsidRPr="00F353B8" w:rsidRDefault="00C573CC" w:rsidP="00CB796B">
      <w:pPr>
        <w:pStyle w:val="32"/>
        <w:spacing w:after="0"/>
        <w:jc w:val="right"/>
        <w:rPr>
          <w:b/>
          <w:i/>
          <w:sz w:val="24"/>
          <w:szCs w:val="24"/>
          <w:u w:val="single"/>
        </w:rPr>
      </w:pPr>
      <w:r w:rsidRPr="00F353B8">
        <w:rPr>
          <w:b/>
          <w:i/>
          <w:sz w:val="24"/>
          <w:szCs w:val="24"/>
          <w:u w:val="single"/>
        </w:rPr>
        <w:t xml:space="preserve">Питання, які відносяться до компетенції </w:t>
      </w:r>
    </w:p>
    <w:p w:rsidR="00C573CC" w:rsidRPr="00802154" w:rsidRDefault="00C573CC" w:rsidP="00CB796B">
      <w:pPr>
        <w:pStyle w:val="32"/>
        <w:spacing w:after="0"/>
        <w:jc w:val="right"/>
        <w:rPr>
          <w:b/>
          <w:i/>
          <w:sz w:val="24"/>
          <w:szCs w:val="24"/>
          <w:u w:val="single"/>
        </w:rPr>
      </w:pPr>
      <w:r w:rsidRPr="00F353B8">
        <w:rPr>
          <w:b/>
          <w:i/>
          <w:sz w:val="24"/>
          <w:szCs w:val="24"/>
          <w:u w:val="single"/>
        </w:rPr>
        <w:t>Департаменту регіонального економічного розвитку ОДА</w:t>
      </w:r>
    </w:p>
    <w:p w:rsidR="00B046B4" w:rsidRPr="00BA098A" w:rsidRDefault="00B046B4" w:rsidP="00CB796B">
      <w:pPr>
        <w:pStyle w:val="32"/>
        <w:spacing w:after="0"/>
        <w:jc w:val="right"/>
        <w:rPr>
          <w:b/>
          <w:i/>
          <w:sz w:val="24"/>
          <w:szCs w:val="24"/>
        </w:rPr>
      </w:pPr>
    </w:p>
    <w:sectPr w:rsidR="00B046B4" w:rsidRPr="00BA098A" w:rsidSect="00E27E46">
      <w:footerReference w:type="even" r:id="rId8"/>
      <w:footerReference w:type="default" r:id="rId9"/>
      <w:pgSz w:w="11905" w:h="16837"/>
      <w:pgMar w:top="426" w:right="990" w:bottom="142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5D8" w:rsidRDefault="002435D8">
      <w:r>
        <w:separator/>
      </w:r>
    </w:p>
  </w:endnote>
  <w:endnote w:type="continuationSeparator" w:id="0">
    <w:p w:rsidR="002435D8" w:rsidRDefault="0024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5D8" w:rsidRDefault="00CB271F" w:rsidP="00DF2532">
    <w:pPr>
      <w:pStyle w:val="afc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2435D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35D8" w:rsidRDefault="002435D8" w:rsidP="00F06908">
    <w:pPr>
      <w:pStyle w:val="af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5D8" w:rsidRPr="00BC3FBD" w:rsidRDefault="00CB271F" w:rsidP="00DF2532">
    <w:pPr>
      <w:pStyle w:val="afc"/>
      <w:framePr w:wrap="around" w:vAnchor="text" w:hAnchor="margin" w:xAlign="outside" w:y="1"/>
      <w:rPr>
        <w:rStyle w:val="a5"/>
        <w:sz w:val="18"/>
        <w:szCs w:val="18"/>
      </w:rPr>
    </w:pPr>
    <w:r w:rsidRPr="00BC3FBD">
      <w:rPr>
        <w:rStyle w:val="a5"/>
        <w:sz w:val="18"/>
        <w:szCs w:val="18"/>
      </w:rPr>
      <w:fldChar w:fldCharType="begin"/>
    </w:r>
    <w:r w:rsidR="002435D8" w:rsidRPr="00BC3FBD">
      <w:rPr>
        <w:rStyle w:val="a5"/>
        <w:sz w:val="18"/>
        <w:szCs w:val="18"/>
      </w:rPr>
      <w:instrText xml:space="preserve">PAGE  </w:instrText>
    </w:r>
    <w:r w:rsidRPr="00BC3FBD">
      <w:rPr>
        <w:rStyle w:val="a5"/>
        <w:sz w:val="18"/>
        <w:szCs w:val="18"/>
      </w:rPr>
      <w:fldChar w:fldCharType="separate"/>
    </w:r>
    <w:r w:rsidR="00B94F7B">
      <w:rPr>
        <w:rStyle w:val="a5"/>
        <w:noProof/>
        <w:sz w:val="18"/>
        <w:szCs w:val="18"/>
      </w:rPr>
      <w:t>10</w:t>
    </w:r>
    <w:r w:rsidRPr="00BC3FBD">
      <w:rPr>
        <w:rStyle w:val="a5"/>
        <w:sz w:val="18"/>
        <w:szCs w:val="18"/>
      </w:rPr>
      <w:fldChar w:fldCharType="end"/>
    </w:r>
  </w:p>
  <w:p w:rsidR="002435D8" w:rsidRDefault="002435D8" w:rsidP="00F06908">
    <w:pPr>
      <w:pStyle w:val="af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5D8" w:rsidRDefault="002435D8">
      <w:r>
        <w:separator/>
      </w:r>
    </w:p>
  </w:footnote>
  <w:footnote w:type="continuationSeparator" w:id="0">
    <w:p w:rsidR="002435D8" w:rsidRDefault="00243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5AEDC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19"/>
    <w:lvl w:ilvl="0"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1350712"/>
    <w:multiLevelType w:val="multilevel"/>
    <w:tmpl w:val="FBBAA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2732491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 w15:restartNumberingAfterBreak="0">
    <w:nsid w:val="05E1324E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 w15:restartNumberingAfterBreak="0">
    <w:nsid w:val="083C2147"/>
    <w:multiLevelType w:val="multilevel"/>
    <w:tmpl w:val="D5BAFD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9" w15:restartNumberingAfterBreak="0">
    <w:nsid w:val="0F206204"/>
    <w:multiLevelType w:val="hybridMultilevel"/>
    <w:tmpl w:val="010C97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D0321"/>
    <w:multiLevelType w:val="hybridMultilevel"/>
    <w:tmpl w:val="95BE221A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1" w15:restartNumberingAfterBreak="0">
    <w:nsid w:val="109B4DC3"/>
    <w:multiLevelType w:val="hybridMultilevel"/>
    <w:tmpl w:val="D6A2B97A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2" w15:restartNumberingAfterBreak="0">
    <w:nsid w:val="11080B4E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3" w15:restartNumberingAfterBreak="0">
    <w:nsid w:val="12D403F0"/>
    <w:multiLevelType w:val="hybridMultilevel"/>
    <w:tmpl w:val="79FE6AEC"/>
    <w:lvl w:ilvl="0" w:tplc="5CC20C7C"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4" w15:restartNumberingAfterBreak="0">
    <w:nsid w:val="130C6225"/>
    <w:multiLevelType w:val="multilevel"/>
    <w:tmpl w:val="0E786A2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3B427B"/>
    <w:multiLevelType w:val="multilevel"/>
    <w:tmpl w:val="75664A6C"/>
    <w:lvl w:ilvl="0">
      <w:start w:val="3"/>
      <w:numFmt w:val="bullet"/>
      <w:lvlText w:val="-"/>
      <w:lvlJc w:val="left"/>
      <w:pPr>
        <w:tabs>
          <w:tab w:val="num" w:pos="870"/>
        </w:tabs>
        <w:ind w:left="870" w:hanging="87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1E3502E2"/>
    <w:multiLevelType w:val="multilevel"/>
    <w:tmpl w:val="759C5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1F386E3C"/>
    <w:multiLevelType w:val="hybridMultilevel"/>
    <w:tmpl w:val="A3D821D8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8" w15:restartNumberingAfterBreak="0">
    <w:nsid w:val="1FEC6610"/>
    <w:multiLevelType w:val="hybridMultilevel"/>
    <w:tmpl w:val="8A48502C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9" w15:restartNumberingAfterBreak="0">
    <w:nsid w:val="2277797E"/>
    <w:multiLevelType w:val="hybridMultilevel"/>
    <w:tmpl w:val="39783152"/>
    <w:lvl w:ilvl="0" w:tplc="A54CF2C2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0B2708"/>
    <w:multiLevelType w:val="hybridMultilevel"/>
    <w:tmpl w:val="0506F9E0"/>
    <w:lvl w:ilvl="0" w:tplc="D044487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7FF0BA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5C552D"/>
    <w:multiLevelType w:val="hybridMultilevel"/>
    <w:tmpl w:val="BC90805A"/>
    <w:lvl w:ilvl="0" w:tplc="8572F556">
      <w:start w:val="3"/>
      <w:numFmt w:val="bullet"/>
      <w:lvlText w:val="-"/>
      <w:lvlJc w:val="left"/>
      <w:pPr>
        <w:tabs>
          <w:tab w:val="num" w:pos="35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293713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3" w15:restartNumberingAfterBreak="0">
    <w:nsid w:val="2DA12A78"/>
    <w:multiLevelType w:val="hybridMultilevel"/>
    <w:tmpl w:val="32729840"/>
    <w:name w:val="WW8Num13"/>
    <w:lvl w:ilvl="0" w:tplc="B49C5AB4">
      <w:start w:val="1"/>
      <w:numFmt w:val="decimal"/>
      <w:lvlText w:val="%1."/>
      <w:lvlJc w:val="left"/>
      <w:pPr>
        <w:tabs>
          <w:tab w:val="num" w:pos="-641"/>
        </w:tabs>
        <w:ind w:left="-641" w:firstLine="641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247BE3"/>
    <w:multiLevelType w:val="hybridMultilevel"/>
    <w:tmpl w:val="F0AA31C0"/>
    <w:name w:val="WW8Num142"/>
    <w:lvl w:ilvl="0" w:tplc="E3A6E6F4">
      <w:start w:val="1"/>
      <w:numFmt w:val="decimal"/>
      <w:lvlText w:val="%1."/>
      <w:lvlJc w:val="left"/>
      <w:pPr>
        <w:tabs>
          <w:tab w:val="num" w:pos="-357"/>
        </w:tabs>
        <w:ind w:left="-357" w:firstLine="714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24370A3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 w15:restartNumberingAfterBreak="0">
    <w:nsid w:val="335F06B7"/>
    <w:multiLevelType w:val="hybridMultilevel"/>
    <w:tmpl w:val="A14EA776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352877C4"/>
    <w:multiLevelType w:val="hybridMultilevel"/>
    <w:tmpl w:val="F40891F6"/>
    <w:lvl w:ilvl="0" w:tplc="AA924CA4">
      <w:start w:val="1"/>
      <w:numFmt w:val="bullet"/>
      <w:lvlText w:val=""/>
      <w:lvlJc w:val="left"/>
      <w:pPr>
        <w:ind w:left="18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 w15:restartNumberingAfterBreak="0">
    <w:nsid w:val="384C7722"/>
    <w:multiLevelType w:val="multilevel"/>
    <w:tmpl w:val="501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3B58639E"/>
    <w:multiLevelType w:val="hybridMultilevel"/>
    <w:tmpl w:val="ED28A96E"/>
    <w:lvl w:ilvl="0" w:tplc="08E0FB7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3D0F1B8E"/>
    <w:multiLevelType w:val="multilevel"/>
    <w:tmpl w:val="9BE05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3D9A6F5A"/>
    <w:multiLevelType w:val="hybridMultilevel"/>
    <w:tmpl w:val="63BC8482"/>
    <w:lvl w:ilvl="0" w:tplc="5CC20C7C">
      <w:numFmt w:val="bullet"/>
      <w:lvlText w:val="-"/>
      <w:lvlJc w:val="left"/>
      <w:pPr>
        <w:ind w:left="1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2" w15:restartNumberingAfterBreak="0">
    <w:nsid w:val="45230C47"/>
    <w:multiLevelType w:val="hybridMultilevel"/>
    <w:tmpl w:val="504CFC34"/>
    <w:name w:val="WW8Num12"/>
    <w:lvl w:ilvl="0" w:tplc="4A18E3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CF34CD5"/>
    <w:multiLevelType w:val="multilevel"/>
    <w:tmpl w:val="0506F9E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FCA35DE"/>
    <w:multiLevelType w:val="multilevel"/>
    <w:tmpl w:val="47BC6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5" w15:restartNumberingAfterBreak="0">
    <w:nsid w:val="506C036D"/>
    <w:multiLevelType w:val="multilevel"/>
    <w:tmpl w:val="C7465678"/>
    <w:name w:val="WW8Num14"/>
    <w:lvl w:ilvl="0">
      <w:start w:val="1"/>
      <w:numFmt w:val="decimal"/>
      <w:lvlText w:val="%1."/>
      <w:lvlJc w:val="left"/>
      <w:pPr>
        <w:tabs>
          <w:tab w:val="num" w:pos="-357"/>
        </w:tabs>
        <w:ind w:left="-357" w:firstLine="714"/>
      </w:pPr>
      <w:rPr>
        <w:rFonts w:hint="default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36" w15:restartNumberingAfterBreak="0">
    <w:nsid w:val="51B84A86"/>
    <w:multiLevelType w:val="multilevel"/>
    <w:tmpl w:val="D368C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37" w15:restartNumberingAfterBreak="0">
    <w:nsid w:val="53AD623C"/>
    <w:multiLevelType w:val="hybridMultilevel"/>
    <w:tmpl w:val="3B022310"/>
    <w:lvl w:ilvl="0" w:tplc="5CC20C7C"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8" w15:restartNumberingAfterBreak="0">
    <w:nsid w:val="54CF549D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9" w15:restartNumberingAfterBreak="0">
    <w:nsid w:val="588B2512"/>
    <w:multiLevelType w:val="hybridMultilevel"/>
    <w:tmpl w:val="CF800796"/>
    <w:name w:val="WW8Num1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594D2564"/>
    <w:multiLevelType w:val="hybridMultilevel"/>
    <w:tmpl w:val="4D2C1DAE"/>
    <w:lvl w:ilvl="0" w:tplc="AA924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4E57647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2" w15:restartNumberingAfterBreak="0">
    <w:nsid w:val="662868F2"/>
    <w:multiLevelType w:val="hybridMultilevel"/>
    <w:tmpl w:val="8F588428"/>
    <w:lvl w:ilvl="0" w:tplc="00000003">
      <w:start w:val="11"/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6A810EB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4" w15:restartNumberingAfterBreak="0">
    <w:nsid w:val="76283F9B"/>
    <w:multiLevelType w:val="hybridMultilevel"/>
    <w:tmpl w:val="CDC80722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5" w15:restartNumberingAfterBreak="0">
    <w:nsid w:val="77472144"/>
    <w:multiLevelType w:val="hybridMultilevel"/>
    <w:tmpl w:val="DAB00C78"/>
    <w:lvl w:ilvl="0" w:tplc="0422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6" w15:restartNumberingAfterBreak="0">
    <w:nsid w:val="7C9E17AF"/>
    <w:multiLevelType w:val="multilevel"/>
    <w:tmpl w:val="860A96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9"/>
  </w:num>
  <w:num w:numId="5">
    <w:abstractNumId w:val="35"/>
  </w:num>
  <w:num w:numId="6">
    <w:abstractNumId w:val="24"/>
  </w:num>
  <w:num w:numId="7">
    <w:abstractNumId w:val="1"/>
  </w:num>
  <w:num w:numId="8">
    <w:abstractNumId w:val="9"/>
  </w:num>
  <w:num w:numId="9">
    <w:abstractNumId w:val="29"/>
  </w:num>
  <w:num w:numId="10">
    <w:abstractNumId w:val="21"/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43"/>
  </w:num>
  <w:num w:numId="14">
    <w:abstractNumId w:val="25"/>
  </w:num>
  <w:num w:numId="15">
    <w:abstractNumId w:val="41"/>
  </w:num>
  <w:num w:numId="16">
    <w:abstractNumId w:val="38"/>
  </w:num>
  <w:num w:numId="17">
    <w:abstractNumId w:val="6"/>
  </w:num>
  <w:num w:numId="18">
    <w:abstractNumId w:val="12"/>
  </w:num>
  <w:num w:numId="19">
    <w:abstractNumId w:val="3"/>
  </w:num>
  <w:num w:numId="20">
    <w:abstractNumId w:val="30"/>
  </w:num>
  <w:num w:numId="21">
    <w:abstractNumId w:val="16"/>
  </w:num>
  <w:num w:numId="22">
    <w:abstractNumId w:val="15"/>
  </w:num>
  <w:num w:numId="23">
    <w:abstractNumId w:val="7"/>
  </w:num>
  <w:num w:numId="24">
    <w:abstractNumId w:val="5"/>
  </w:num>
  <w:num w:numId="25">
    <w:abstractNumId w:val="39"/>
  </w:num>
  <w:num w:numId="26">
    <w:abstractNumId w:val="46"/>
  </w:num>
  <w:num w:numId="27">
    <w:abstractNumId w:val="28"/>
  </w:num>
  <w:num w:numId="28">
    <w:abstractNumId w:val="20"/>
  </w:num>
  <w:num w:numId="29">
    <w:abstractNumId w:val="14"/>
  </w:num>
  <w:num w:numId="30">
    <w:abstractNumId w:val="33"/>
  </w:num>
  <w:num w:numId="31">
    <w:abstractNumId w:val="34"/>
  </w:num>
  <w:num w:numId="32">
    <w:abstractNumId w:val="8"/>
  </w:num>
  <w:num w:numId="33">
    <w:abstractNumId w:val="36"/>
  </w:num>
  <w:num w:numId="34">
    <w:abstractNumId w:val="42"/>
  </w:num>
  <w:num w:numId="35">
    <w:abstractNumId w:val="45"/>
  </w:num>
  <w:num w:numId="36">
    <w:abstractNumId w:val="44"/>
  </w:num>
  <w:num w:numId="37">
    <w:abstractNumId w:val="10"/>
  </w:num>
  <w:num w:numId="38">
    <w:abstractNumId w:val="37"/>
  </w:num>
  <w:num w:numId="39">
    <w:abstractNumId w:val="31"/>
  </w:num>
  <w:num w:numId="40">
    <w:abstractNumId w:val="27"/>
  </w:num>
  <w:num w:numId="41">
    <w:abstractNumId w:val="18"/>
  </w:num>
  <w:num w:numId="42">
    <w:abstractNumId w:val="11"/>
  </w:num>
  <w:num w:numId="43">
    <w:abstractNumId w:val="13"/>
  </w:num>
  <w:num w:numId="44">
    <w:abstractNumId w:val="26"/>
  </w:num>
  <w:num w:numId="45">
    <w:abstractNumId w:val="17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5D"/>
    <w:rsid w:val="00000C70"/>
    <w:rsid w:val="00002BAC"/>
    <w:rsid w:val="00003C02"/>
    <w:rsid w:val="00004067"/>
    <w:rsid w:val="00004DF5"/>
    <w:rsid w:val="00004E4F"/>
    <w:rsid w:val="00007646"/>
    <w:rsid w:val="00010882"/>
    <w:rsid w:val="00010A87"/>
    <w:rsid w:val="00011074"/>
    <w:rsid w:val="000111B1"/>
    <w:rsid w:val="0001261D"/>
    <w:rsid w:val="00012ED0"/>
    <w:rsid w:val="00014F10"/>
    <w:rsid w:val="00015F58"/>
    <w:rsid w:val="000200B1"/>
    <w:rsid w:val="0002323A"/>
    <w:rsid w:val="00023C38"/>
    <w:rsid w:val="0002415C"/>
    <w:rsid w:val="0002444C"/>
    <w:rsid w:val="00024B53"/>
    <w:rsid w:val="000251EC"/>
    <w:rsid w:val="0002576F"/>
    <w:rsid w:val="000259F6"/>
    <w:rsid w:val="00026F53"/>
    <w:rsid w:val="00027456"/>
    <w:rsid w:val="00027FA8"/>
    <w:rsid w:val="00027FE1"/>
    <w:rsid w:val="0003043A"/>
    <w:rsid w:val="00031018"/>
    <w:rsid w:val="00031472"/>
    <w:rsid w:val="00032204"/>
    <w:rsid w:val="00034142"/>
    <w:rsid w:val="00034B86"/>
    <w:rsid w:val="000355E7"/>
    <w:rsid w:val="00035CB8"/>
    <w:rsid w:val="000366CA"/>
    <w:rsid w:val="00036DCB"/>
    <w:rsid w:val="00037DBE"/>
    <w:rsid w:val="000409D3"/>
    <w:rsid w:val="0004140F"/>
    <w:rsid w:val="00041B71"/>
    <w:rsid w:val="00041BE1"/>
    <w:rsid w:val="00042C86"/>
    <w:rsid w:val="0004331C"/>
    <w:rsid w:val="00043F59"/>
    <w:rsid w:val="000449CC"/>
    <w:rsid w:val="00045059"/>
    <w:rsid w:val="00050F11"/>
    <w:rsid w:val="0005195D"/>
    <w:rsid w:val="000521DD"/>
    <w:rsid w:val="00052ADB"/>
    <w:rsid w:val="00053567"/>
    <w:rsid w:val="00054287"/>
    <w:rsid w:val="00054802"/>
    <w:rsid w:val="0005486E"/>
    <w:rsid w:val="00057253"/>
    <w:rsid w:val="00057ED3"/>
    <w:rsid w:val="000612C1"/>
    <w:rsid w:val="000647A5"/>
    <w:rsid w:val="000647DD"/>
    <w:rsid w:val="000657C0"/>
    <w:rsid w:val="000665C2"/>
    <w:rsid w:val="000667C7"/>
    <w:rsid w:val="00066B62"/>
    <w:rsid w:val="00066BFE"/>
    <w:rsid w:val="000672D0"/>
    <w:rsid w:val="00067333"/>
    <w:rsid w:val="00071351"/>
    <w:rsid w:val="00072343"/>
    <w:rsid w:val="00072BE4"/>
    <w:rsid w:val="00073361"/>
    <w:rsid w:val="00075EF8"/>
    <w:rsid w:val="000773A9"/>
    <w:rsid w:val="00077AE4"/>
    <w:rsid w:val="000811B9"/>
    <w:rsid w:val="00082028"/>
    <w:rsid w:val="000848F2"/>
    <w:rsid w:val="000852FC"/>
    <w:rsid w:val="00087DD4"/>
    <w:rsid w:val="0009007B"/>
    <w:rsid w:val="00090B9E"/>
    <w:rsid w:val="00090CDA"/>
    <w:rsid w:val="0009261A"/>
    <w:rsid w:val="00095901"/>
    <w:rsid w:val="00095B9B"/>
    <w:rsid w:val="00097A27"/>
    <w:rsid w:val="00097A9B"/>
    <w:rsid w:val="00097BC0"/>
    <w:rsid w:val="000A04F4"/>
    <w:rsid w:val="000A0636"/>
    <w:rsid w:val="000A0A6D"/>
    <w:rsid w:val="000A17FC"/>
    <w:rsid w:val="000A2523"/>
    <w:rsid w:val="000A26C1"/>
    <w:rsid w:val="000A2BE8"/>
    <w:rsid w:val="000A35F1"/>
    <w:rsid w:val="000A4890"/>
    <w:rsid w:val="000A5265"/>
    <w:rsid w:val="000A53F3"/>
    <w:rsid w:val="000B1C20"/>
    <w:rsid w:val="000B3969"/>
    <w:rsid w:val="000B3FE9"/>
    <w:rsid w:val="000B54A2"/>
    <w:rsid w:val="000B71C2"/>
    <w:rsid w:val="000B733E"/>
    <w:rsid w:val="000B7A37"/>
    <w:rsid w:val="000B7E40"/>
    <w:rsid w:val="000C29FB"/>
    <w:rsid w:val="000C2EE6"/>
    <w:rsid w:val="000C404F"/>
    <w:rsid w:val="000C4753"/>
    <w:rsid w:val="000C5118"/>
    <w:rsid w:val="000C7642"/>
    <w:rsid w:val="000D30DD"/>
    <w:rsid w:val="000D459E"/>
    <w:rsid w:val="000D6D2A"/>
    <w:rsid w:val="000E184F"/>
    <w:rsid w:val="000E2555"/>
    <w:rsid w:val="000E34D2"/>
    <w:rsid w:val="000E47DB"/>
    <w:rsid w:val="000E4E2C"/>
    <w:rsid w:val="000E5B5F"/>
    <w:rsid w:val="000E5EF5"/>
    <w:rsid w:val="000E6753"/>
    <w:rsid w:val="000E6A7E"/>
    <w:rsid w:val="000E6EAE"/>
    <w:rsid w:val="000E71C6"/>
    <w:rsid w:val="000E77D8"/>
    <w:rsid w:val="000E7DC9"/>
    <w:rsid w:val="000F0FF7"/>
    <w:rsid w:val="000F19F9"/>
    <w:rsid w:val="000F25FE"/>
    <w:rsid w:val="000F3EB8"/>
    <w:rsid w:val="000F5122"/>
    <w:rsid w:val="000F5D7E"/>
    <w:rsid w:val="000F5DD8"/>
    <w:rsid w:val="000F6C88"/>
    <w:rsid w:val="000F70E4"/>
    <w:rsid w:val="0010057D"/>
    <w:rsid w:val="0010112E"/>
    <w:rsid w:val="00102816"/>
    <w:rsid w:val="001032CC"/>
    <w:rsid w:val="00103426"/>
    <w:rsid w:val="00103F39"/>
    <w:rsid w:val="00105135"/>
    <w:rsid w:val="0010629C"/>
    <w:rsid w:val="00107327"/>
    <w:rsid w:val="001116C3"/>
    <w:rsid w:val="00114A2C"/>
    <w:rsid w:val="00115049"/>
    <w:rsid w:val="00115CD3"/>
    <w:rsid w:val="00116677"/>
    <w:rsid w:val="00116F81"/>
    <w:rsid w:val="00117748"/>
    <w:rsid w:val="001213D1"/>
    <w:rsid w:val="00122198"/>
    <w:rsid w:val="00122FF9"/>
    <w:rsid w:val="00123447"/>
    <w:rsid w:val="0012364B"/>
    <w:rsid w:val="001239C5"/>
    <w:rsid w:val="00123AC6"/>
    <w:rsid w:val="00123F93"/>
    <w:rsid w:val="00124945"/>
    <w:rsid w:val="0012595A"/>
    <w:rsid w:val="00125B1B"/>
    <w:rsid w:val="00125CD3"/>
    <w:rsid w:val="0012661F"/>
    <w:rsid w:val="001318B3"/>
    <w:rsid w:val="00132104"/>
    <w:rsid w:val="00132232"/>
    <w:rsid w:val="0013284E"/>
    <w:rsid w:val="00132A49"/>
    <w:rsid w:val="00133BD4"/>
    <w:rsid w:val="00134AC7"/>
    <w:rsid w:val="00134F37"/>
    <w:rsid w:val="00135301"/>
    <w:rsid w:val="00135447"/>
    <w:rsid w:val="00135917"/>
    <w:rsid w:val="00135AEB"/>
    <w:rsid w:val="00136DD6"/>
    <w:rsid w:val="00141D80"/>
    <w:rsid w:val="00142B3F"/>
    <w:rsid w:val="00142FDA"/>
    <w:rsid w:val="001431D2"/>
    <w:rsid w:val="00143220"/>
    <w:rsid w:val="00143C65"/>
    <w:rsid w:val="00144106"/>
    <w:rsid w:val="00144399"/>
    <w:rsid w:val="001445E7"/>
    <w:rsid w:val="00145BFB"/>
    <w:rsid w:val="0014695B"/>
    <w:rsid w:val="00146D00"/>
    <w:rsid w:val="00146E66"/>
    <w:rsid w:val="00146EA7"/>
    <w:rsid w:val="00146F47"/>
    <w:rsid w:val="001474BB"/>
    <w:rsid w:val="00150AE5"/>
    <w:rsid w:val="00151699"/>
    <w:rsid w:val="00151FC6"/>
    <w:rsid w:val="00152873"/>
    <w:rsid w:val="00152AE8"/>
    <w:rsid w:val="0015366B"/>
    <w:rsid w:val="00156EBD"/>
    <w:rsid w:val="00157743"/>
    <w:rsid w:val="0015774F"/>
    <w:rsid w:val="001578BA"/>
    <w:rsid w:val="001603BA"/>
    <w:rsid w:val="00160C34"/>
    <w:rsid w:val="001610B8"/>
    <w:rsid w:val="001637F5"/>
    <w:rsid w:val="00170D4E"/>
    <w:rsid w:val="001719B0"/>
    <w:rsid w:val="00171AF7"/>
    <w:rsid w:val="00173A3C"/>
    <w:rsid w:val="00174B2C"/>
    <w:rsid w:val="00177505"/>
    <w:rsid w:val="00180C7B"/>
    <w:rsid w:val="00181528"/>
    <w:rsid w:val="00181710"/>
    <w:rsid w:val="001824AF"/>
    <w:rsid w:val="00182509"/>
    <w:rsid w:val="00182BFA"/>
    <w:rsid w:val="00183FE9"/>
    <w:rsid w:val="00184921"/>
    <w:rsid w:val="00185121"/>
    <w:rsid w:val="001855FB"/>
    <w:rsid w:val="001866BA"/>
    <w:rsid w:val="00192599"/>
    <w:rsid w:val="001929A3"/>
    <w:rsid w:val="00193441"/>
    <w:rsid w:val="00193D86"/>
    <w:rsid w:val="00193DF1"/>
    <w:rsid w:val="00195432"/>
    <w:rsid w:val="0019562E"/>
    <w:rsid w:val="00196CEE"/>
    <w:rsid w:val="00197031"/>
    <w:rsid w:val="00197078"/>
    <w:rsid w:val="001A07D8"/>
    <w:rsid w:val="001A1233"/>
    <w:rsid w:val="001A26D5"/>
    <w:rsid w:val="001A2F9B"/>
    <w:rsid w:val="001A3A77"/>
    <w:rsid w:val="001A4AE7"/>
    <w:rsid w:val="001A4C36"/>
    <w:rsid w:val="001A51C6"/>
    <w:rsid w:val="001A6F77"/>
    <w:rsid w:val="001A72A0"/>
    <w:rsid w:val="001A7442"/>
    <w:rsid w:val="001A7CA9"/>
    <w:rsid w:val="001B07DB"/>
    <w:rsid w:val="001B09F9"/>
    <w:rsid w:val="001B0B72"/>
    <w:rsid w:val="001B26BA"/>
    <w:rsid w:val="001B2A0D"/>
    <w:rsid w:val="001B2F56"/>
    <w:rsid w:val="001B306B"/>
    <w:rsid w:val="001B3934"/>
    <w:rsid w:val="001B4133"/>
    <w:rsid w:val="001B58DF"/>
    <w:rsid w:val="001B5DCD"/>
    <w:rsid w:val="001B608B"/>
    <w:rsid w:val="001B639F"/>
    <w:rsid w:val="001B6588"/>
    <w:rsid w:val="001C33BD"/>
    <w:rsid w:val="001C35F6"/>
    <w:rsid w:val="001C4BB9"/>
    <w:rsid w:val="001C6115"/>
    <w:rsid w:val="001D0734"/>
    <w:rsid w:val="001D147A"/>
    <w:rsid w:val="001D2310"/>
    <w:rsid w:val="001D239E"/>
    <w:rsid w:val="001D2970"/>
    <w:rsid w:val="001D4564"/>
    <w:rsid w:val="001D6450"/>
    <w:rsid w:val="001E082F"/>
    <w:rsid w:val="001E08CB"/>
    <w:rsid w:val="001E0BE6"/>
    <w:rsid w:val="001E0CE9"/>
    <w:rsid w:val="001E1511"/>
    <w:rsid w:val="001E22E6"/>
    <w:rsid w:val="001E58AB"/>
    <w:rsid w:val="001E72EB"/>
    <w:rsid w:val="001E7955"/>
    <w:rsid w:val="001F0D8F"/>
    <w:rsid w:val="001F167E"/>
    <w:rsid w:val="001F188B"/>
    <w:rsid w:val="001F3D99"/>
    <w:rsid w:val="001F45E4"/>
    <w:rsid w:val="001F470D"/>
    <w:rsid w:val="001F47A8"/>
    <w:rsid w:val="001F5BC4"/>
    <w:rsid w:val="001F63EE"/>
    <w:rsid w:val="0020286A"/>
    <w:rsid w:val="002063C7"/>
    <w:rsid w:val="00206991"/>
    <w:rsid w:val="00206C84"/>
    <w:rsid w:val="00207C87"/>
    <w:rsid w:val="00207C8C"/>
    <w:rsid w:val="00211601"/>
    <w:rsid w:val="002132BA"/>
    <w:rsid w:val="00214935"/>
    <w:rsid w:val="00214D52"/>
    <w:rsid w:val="002159B0"/>
    <w:rsid w:val="002161DF"/>
    <w:rsid w:val="00220EE6"/>
    <w:rsid w:val="002210BA"/>
    <w:rsid w:val="002218E9"/>
    <w:rsid w:val="00222045"/>
    <w:rsid w:val="00223A1D"/>
    <w:rsid w:val="0022491D"/>
    <w:rsid w:val="00225C35"/>
    <w:rsid w:val="00226AAC"/>
    <w:rsid w:val="0022739E"/>
    <w:rsid w:val="002300D0"/>
    <w:rsid w:val="00230311"/>
    <w:rsid w:val="0023057C"/>
    <w:rsid w:val="0023116E"/>
    <w:rsid w:val="0023195C"/>
    <w:rsid w:val="00232E8C"/>
    <w:rsid w:val="002346AB"/>
    <w:rsid w:val="00234F71"/>
    <w:rsid w:val="00235845"/>
    <w:rsid w:val="00235ACF"/>
    <w:rsid w:val="002370E6"/>
    <w:rsid w:val="00237747"/>
    <w:rsid w:val="00237A78"/>
    <w:rsid w:val="00237F0A"/>
    <w:rsid w:val="002402C0"/>
    <w:rsid w:val="00240338"/>
    <w:rsid w:val="00240DB2"/>
    <w:rsid w:val="00242853"/>
    <w:rsid w:val="002435D8"/>
    <w:rsid w:val="00245EC9"/>
    <w:rsid w:val="0024601A"/>
    <w:rsid w:val="002471CA"/>
    <w:rsid w:val="0024770E"/>
    <w:rsid w:val="00250393"/>
    <w:rsid w:val="00251ED5"/>
    <w:rsid w:val="00251FBE"/>
    <w:rsid w:val="00252680"/>
    <w:rsid w:val="002531C3"/>
    <w:rsid w:val="002533B7"/>
    <w:rsid w:val="002546D5"/>
    <w:rsid w:val="002571CB"/>
    <w:rsid w:val="00257F5E"/>
    <w:rsid w:val="0026022E"/>
    <w:rsid w:val="002607E7"/>
    <w:rsid w:val="0026256E"/>
    <w:rsid w:val="002630AF"/>
    <w:rsid w:val="00264E69"/>
    <w:rsid w:val="00265D47"/>
    <w:rsid w:val="00271B34"/>
    <w:rsid w:val="002724C1"/>
    <w:rsid w:val="0027263A"/>
    <w:rsid w:val="00272A07"/>
    <w:rsid w:val="00273BF7"/>
    <w:rsid w:val="00273E43"/>
    <w:rsid w:val="00274414"/>
    <w:rsid w:val="00274E4B"/>
    <w:rsid w:val="00275297"/>
    <w:rsid w:val="00275A91"/>
    <w:rsid w:val="00277881"/>
    <w:rsid w:val="00280A21"/>
    <w:rsid w:val="0028252E"/>
    <w:rsid w:val="0028354E"/>
    <w:rsid w:val="0028585C"/>
    <w:rsid w:val="00286048"/>
    <w:rsid w:val="0028703A"/>
    <w:rsid w:val="002872B7"/>
    <w:rsid w:val="00287F69"/>
    <w:rsid w:val="00290615"/>
    <w:rsid w:val="0029093F"/>
    <w:rsid w:val="00290B74"/>
    <w:rsid w:val="00291112"/>
    <w:rsid w:val="00291752"/>
    <w:rsid w:val="00292A40"/>
    <w:rsid w:val="002936A0"/>
    <w:rsid w:val="00294EF9"/>
    <w:rsid w:val="002950C8"/>
    <w:rsid w:val="00296BA2"/>
    <w:rsid w:val="00297F24"/>
    <w:rsid w:val="002A03F9"/>
    <w:rsid w:val="002A107E"/>
    <w:rsid w:val="002A1465"/>
    <w:rsid w:val="002A14DF"/>
    <w:rsid w:val="002A150D"/>
    <w:rsid w:val="002A1D99"/>
    <w:rsid w:val="002A2551"/>
    <w:rsid w:val="002A4297"/>
    <w:rsid w:val="002A4834"/>
    <w:rsid w:val="002A4D7F"/>
    <w:rsid w:val="002A4EC4"/>
    <w:rsid w:val="002B1021"/>
    <w:rsid w:val="002B13FD"/>
    <w:rsid w:val="002B154F"/>
    <w:rsid w:val="002B1664"/>
    <w:rsid w:val="002B1AF2"/>
    <w:rsid w:val="002B22D0"/>
    <w:rsid w:val="002B4B70"/>
    <w:rsid w:val="002B5662"/>
    <w:rsid w:val="002B5759"/>
    <w:rsid w:val="002B7067"/>
    <w:rsid w:val="002C0DA1"/>
    <w:rsid w:val="002C1700"/>
    <w:rsid w:val="002C26E5"/>
    <w:rsid w:val="002C285E"/>
    <w:rsid w:val="002C45F0"/>
    <w:rsid w:val="002C647F"/>
    <w:rsid w:val="002C69CF"/>
    <w:rsid w:val="002C76D4"/>
    <w:rsid w:val="002C7B60"/>
    <w:rsid w:val="002D070E"/>
    <w:rsid w:val="002D1E58"/>
    <w:rsid w:val="002D3DC3"/>
    <w:rsid w:val="002D44A9"/>
    <w:rsid w:val="002D7137"/>
    <w:rsid w:val="002D725D"/>
    <w:rsid w:val="002D77BF"/>
    <w:rsid w:val="002D7EA4"/>
    <w:rsid w:val="002D7F8A"/>
    <w:rsid w:val="002E06C7"/>
    <w:rsid w:val="002E3C0D"/>
    <w:rsid w:val="002E4F8F"/>
    <w:rsid w:val="002E5BB1"/>
    <w:rsid w:val="002E6CAD"/>
    <w:rsid w:val="002E70A6"/>
    <w:rsid w:val="002E7749"/>
    <w:rsid w:val="002F02EC"/>
    <w:rsid w:val="002F19D7"/>
    <w:rsid w:val="002F2994"/>
    <w:rsid w:val="002F318A"/>
    <w:rsid w:val="002F3DA6"/>
    <w:rsid w:val="002F3F74"/>
    <w:rsid w:val="002F4C7F"/>
    <w:rsid w:val="002F6686"/>
    <w:rsid w:val="002F6A91"/>
    <w:rsid w:val="0030070E"/>
    <w:rsid w:val="00301FE1"/>
    <w:rsid w:val="00302E0B"/>
    <w:rsid w:val="00303375"/>
    <w:rsid w:val="00303DDF"/>
    <w:rsid w:val="00303DFA"/>
    <w:rsid w:val="0030469E"/>
    <w:rsid w:val="003057A6"/>
    <w:rsid w:val="00307EE9"/>
    <w:rsid w:val="0031082C"/>
    <w:rsid w:val="00310BAC"/>
    <w:rsid w:val="00311314"/>
    <w:rsid w:val="003117C4"/>
    <w:rsid w:val="00311971"/>
    <w:rsid w:val="003147B2"/>
    <w:rsid w:val="00316662"/>
    <w:rsid w:val="0031686E"/>
    <w:rsid w:val="003201FE"/>
    <w:rsid w:val="00320459"/>
    <w:rsid w:val="00321097"/>
    <w:rsid w:val="0032139B"/>
    <w:rsid w:val="0032157B"/>
    <w:rsid w:val="00322DBF"/>
    <w:rsid w:val="003237FA"/>
    <w:rsid w:val="00323BF6"/>
    <w:rsid w:val="00323C6E"/>
    <w:rsid w:val="00324F92"/>
    <w:rsid w:val="003265D6"/>
    <w:rsid w:val="00326718"/>
    <w:rsid w:val="0033073A"/>
    <w:rsid w:val="003309F0"/>
    <w:rsid w:val="0033205F"/>
    <w:rsid w:val="003326CE"/>
    <w:rsid w:val="00333790"/>
    <w:rsid w:val="00333965"/>
    <w:rsid w:val="00334CD1"/>
    <w:rsid w:val="0033562C"/>
    <w:rsid w:val="00335A9E"/>
    <w:rsid w:val="0033602A"/>
    <w:rsid w:val="0033612D"/>
    <w:rsid w:val="003361C5"/>
    <w:rsid w:val="00337F08"/>
    <w:rsid w:val="00340899"/>
    <w:rsid w:val="0034205C"/>
    <w:rsid w:val="003432E1"/>
    <w:rsid w:val="0034379A"/>
    <w:rsid w:val="003440C6"/>
    <w:rsid w:val="00344A5F"/>
    <w:rsid w:val="00345B2F"/>
    <w:rsid w:val="00346E8D"/>
    <w:rsid w:val="00347010"/>
    <w:rsid w:val="003471E4"/>
    <w:rsid w:val="00347E7C"/>
    <w:rsid w:val="00347F9E"/>
    <w:rsid w:val="0035088F"/>
    <w:rsid w:val="00354764"/>
    <w:rsid w:val="00354895"/>
    <w:rsid w:val="00355255"/>
    <w:rsid w:val="00355696"/>
    <w:rsid w:val="003564BF"/>
    <w:rsid w:val="00357F28"/>
    <w:rsid w:val="003602B1"/>
    <w:rsid w:val="003625A8"/>
    <w:rsid w:val="003629C1"/>
    <w:rsid w:val="0036341D"/>
    <w:rsid w:val="00363982"/>
    <w:rsid w:val="00364020"/>
    <w:rsid w:val="003643F5"/>
    <w:rsid w:val="003647CE"/>
    <w:rsid w:val="00364D48"/>
    <w:rsid w:val="003653F9"/>
    <w:rsid w:val="00366006"/>
    <w:rsid w:val="00366087"/>
    <w:rsid w:val="00366FA3"/>
    <w:rsid w:val="003673C2"/>
    <w:rsid w:val="00367DBD"/>
    <w:rsid w:val="00367EC8"/>
    <w:rsid w:val="00370398"/>
    <w:rsid w:val="00370F8F"/>
    <w:rsid w:val="00371472"/>
    <w:rsid w:val="00371489"/>
    <w:rsid w:val="0037172E"/>
    <w:rsid w:val="00371F25"/>
    <w:rsid w:val="003722D9"/>
    <w:rsid w:val="00373688"/>
    <w:rsid w:val="00373E68"/>
    <w:rsid w:val="00374A01"/>
    <w:rsid w:val="00374B8D"/>
    <w:rsid w:val="003752B8"/>
    <w:rsid w:val="00375C27"/>
    <w:rsid w:val="003761C9"/>
    <w:rsid w:val="003765F1"/>
    <w:rsid w:val="003778F5"/>
    <w:rsid w:val="00380ADC"/>
    <w:rsid w:val="00380F2E"/>
    <w:rsid w:val="0038148B"/>
    <w:rsid w:val="0038197E"/>
    <w:rsid w:val="00382CB0"/>
    <w:rsid w:val="00383916"/>
    <w:rsid w:val="00384578"/>
    <w:rsid w:val="0038497B"/>
    <w:rsid w:val="00384E72"/>
    <w:rsid w:val="00385F6D"/>
    <w:rsid w:val="0038796E"/>
    <w:rsid w:val="00390BBB"/>
    <w:rsid w:val="00391B2B"/>
    <w:rsid w:val="003937EE"/>
    <w:rsid w:val="0039475C"/>
    <w:rsid w:val="00394DA6"/>
    <w:rsid w:val="00394DFA"/>
    <w:rsid w:val="00395A80"/>
    <w:rsid w:val="00395AAC"/>
    <w:rsid w:val="003A19D7"/>
    <w:rsid w:val="003A1B35"/>
    <w:rsid w:val="003A2286"/>
    <w:rsid w:val="003A240D"/>
    <w:rsid w:val="003A2438"/>
    <w:rsid w:val="003A2F68"/>
    <w:rsid w:val="003A3682"/>
    <w:rsid w:val="003A5DF4"/>
    <w:rsid w:val="003A6709"/>
    <w:rsid w:val="003B1079"/>
    <w:rsid w:val="003B2C03"/>
    <w:rsid w:val="003B2D4D"/>
    <w:rsid w:val="003B2E0F"/>
    <w:rsid w:val="003B2E73"/>
    <w:rsid w:val="003B307A"/>
    <w:rsid w:val="003B3CEA"/>
    <w:rsid w:val="003B56E1"/>
    <w:rsid w:val="003B573A"/>
    <w:rsid w:val="003B7E03"/>
    <w:rsid w:val="003C262D"/>
    <w:rsid w:val="003C4C49"/>
    <w:rsid w:val="003C5F8D"/>
    <w:rsid w:val="003C6333"/>
    <w:rsid w:val="003C7557"/>
    <w:rsid w:val="003C7610"/>
    <w:rsid w:val="003C781B"/>
    <w:rsid w:val="003C7F8E"/>
    <w:rsid w:val="003D08D2"/>
    <w:rsid w:val="003D2B32"/>
    <w:rsid w:val="003D47E8"/>
    <w:rsid w:val="003D6853"/>
    <w:rsid w:val="003D7967"/>
    <w:rsid w:val="003E38F6"/>
    <w:rsid w:val="003E3DEA"/>
    <w:rsid w:val="003E4122"/>
    <w:rsid w:val="003E478F"/>
    <w:rsid w:val="003E4C51"/>
    <w:rsid w:val="003E5923"/>
    <w:rsid w:val="003E6065"/>
    <w:rsid w:val="003E6895"/>
    <w:rsid w:val="003E75D7"/>
    <w:rsid w:val="003E7D14"/>
    <w:rsid w:val="003F054A"/>
    <w:rsid w:val="003F0598"/>
    <w:rsid w:val="003F24D1"/>
    <w:rsid w:val="003F3C76"/>
    <w:rsid w:val="003F4865"/>
    <w:rsid w:val="003F5E9E"/>
    <w:rsid w:val="003F61B6"/>
    <w:rsid w:val="003F62B8"/>
    <w:rsid w:val="003F6A10"/>
    <w:rsid w:val="003F6FA0"/>
    <w:rsid w:val="003F72CE"/>
    <w:rsid w:val="004049A0"/>
    <w:rsid w:val="00404E28"/>
    <w:rsid w:val="004052D3"/>
    <w:rsid w:val="004054D7"/>
    <w:rsid w:val="004060B6"/>
    <w:rsid w:val="004064A3"/>
    <w:rsid w:val="00406A3E"/>
    <w:rsid w:val="0040721D"/>
    <w:rsid w:val="004074E0"/>
    <w:rsid w:val="0040775C"/>
    <w:rsid w:val="00407A47"/>
    <w:rsid w:val="00411794"/>
    <w:rsid w:val="004125AB"/>
    <w:rsid w:val="00415362"/>
    <w:rsid w:val="00415864"/>
    <w:rsid w:val="004160E2"/>
    <w:rsid w:val="00416A89"/>
    <w:rsid w:val="00421122"/>
    <w:rsid w:val="00421ED8"/>
    <w:rsid w:val="00422646"/>
    <w:rsid w:val="00423774"/>
    <w:rsid w:val="00424A91"/>
    <w:rsid w:val="00425158"/>
    <w:rsid w:val="00425315"/>
    <w:rsid w:val="00427747"/>
    <w:rsid w:val="0043051F"/>
    <w:rsid w:val="004308BD"/>
    <w:rsid w:val="00430C00"/>
    <w:rsid w:val="00430E77"/>
    <w:rsid w:val="00431149"/>
    <w:rsid w:val="00431655"/>
    <w:rsid w:val="00431DB5"/>
    <w:rsid w:val="00432D40"/>
    <w:rsid w:val="00433294"/>
    <w:rsid w:val="00433929"/>
    <w:rsid w:val="00434539"/>
    <w:rsid w:val="004346C4"/>
    <w:rsid w:val="00434B85"/>
    <w:rsid w:val="00434D62"/>
    <w:rsid w:val="004354B8"/>
    <w:rsid w:val="00435525"/>
    <w:rsid w:val="004357BD"/>
    <w:rsid w:val="00442996"/>
    <w:rsid w:val="00443253"/>
    <w:rsid w:val="004437AC"/>
    <w:rsid w:val="004441E7"/>
    <w:rsid w:val="004467DD"/>
    <w:rsid w:val="004468D1"/>
    <w:rsid w:val="004469B0"/>
    <w:rsid w:val="00447701"/>
    <w:rsid w:val="004517E5"/>
    <w:rsid w:val="00451D45"/>
    <w:rsid w:val="00452262"/>
    <w:rsid w:val="00452391"/>
    <w:rsid w:val="00453044"/>
    <w:rsid w:val="00453167"/>
    <w:rsid w:val="004532B2"/>
    <w:rsid w:val="004544D9"/>
    <w:rsid w:val="00454E46"/>
    <w:rsid w:val="004560BE"/>
    <w:rsid w:val="00456208"/>
    <w:rsid w:val="00457EA9"/>
    <w:rsid w:val="00460432"/>
    <w:rsid w:val="00460ECD"/>
    <w:rsid w:val="004630F0"/>
    <w:rsid w:val="00463C59"/>
    <w:rsid w:val="004644FB"/>
    <w:rsid w:val="00464CA4"/>
    <w:rsid w:val="00465B21"/>
    <w:rsid w:val="004708D2"/>
    <w:rsid w:val="004729FA"/>
    <w:rsid w:val="00472B43"/>
    <w:rsid w:val="00473A3E"/>
    <w:rsid w:val="00474746"/>
    <w:rsid w:val="00474B33"/>
    <w:rsid w:val="00475B99"/>
    <w:rsid w:val="00475D09"/>
    <w:rsid w:val="00481974"/>
    <w:rsid w:val="00482178"/>
    <w:rsid w:val="00482526"/>
    <w:rsid w:val="00483D00"/>
    <w:rsid w:val="00485097"/>
    <w:rsid w:val="00485D0D"/>
    <w:rsid w:val="004862CA"/>
    <w:rsid w:val="00486508"/>
    <w:rsid w:val="004877A9"/>
    <w:rsid w:val="004902F7"/>
    <w:rsid w:val="00490473"/>
    <w:rsid w:val="00490DD9"/>
    <w:rsid w:val="00491A6D"/>
    <w:rsid w:val="00491DAA"/>
    <w:rsid w:val="00491E5B"/>
    <w:rsid w:val="004921C5"/>
    <w:rsid w:val="00492D09"/>
    <w:rsid w:val="004957FD"/>
    <w:rsid w:val="00496698"/>
    <w:rsid w:val="004A14EF"/>
    <w:rsid w:val="004A1A55"/>
    <w:rsid w:val="004A1EB8"/>
    <w:rsid w:val="004A2E2F"/>
    <w:rsid w:val="004A3430"/>
    <w:rsid w:val="004A419A"/>
    <w:rsid w:val="004A5466"/>
    <w:rsid w:val="004A5E63"/>
    <w:rsid w:val="004A6EFA"/>
    <w:rsid w:val="004A7EF6"/>
    <w:rsid w:val="004B39FF"/>
    <w:rsid w:val="004B43A6"/>
    <w:rsid w:val="004B6433"/>
    <w:rsid w:val="004B748B"/>
    <w:rsid w:val="004C0BAD"/>
    <w:rsid w:val="004C0E61"/>
    <w:rsid w:val="004C106C"/>
    <w:rsid w:val="004C26F1"/>
    <w:rsid w:val="004C426E"/>
    <w:rsid w:val="004C466B"/>
    <w:rsid w:val="004C4903"/>
    <w:rsid w:val="004C4914"/>
    <w:rsid w:val="004C4B30"/>
    <w:rsid w:val="004C52E0"/>
    <w:rsid w:val="004C5D8F"/>
    <w:rsid w:val="004C7455"/>
    <w:rsid w:val="004C7CD4"/>
    <w:rsid w:val="004D133B"/>
    <w:rsid w:val="004D2000"/>
    <w:rsid w:val="004D2CEB"/>
    <w:rsid w:val="004D3D49"/>
    <w:rsid w:val="004D411A"/>
    <w:rsid w:val="004D4DB1"/>
    <w:rsid w:val="004D5681"/>
    <w:rsid w:val="004D77EE"/>
    <w:rsid w:val="004E0F59"/>
    <w:rsid w:val="004E1453"/>
    <w:rsid w:val="004E1CF4"/>
    <w:rsid w:val="004E1E88"/>
    <w:rsid w:val="004E1EB2"/>
    <w:rsid w:val="004E2872"/>
    <w:rsid w:val="004E2C33"/>
    <w:rsid w:val="004E3A6C"/>
    <w:rsid w:val="004E3E1A"/>
    <w:rsid w:val="004E7A82"/>
    <w:rsid w:val="004F0BF2"/>
    <w:rsid w:val="004F2AB0"/>
    <w:rsid w:val="004F2FAB"/>
    <w:rsid w:val="004F33B4"/>
    <w:rsid w:val="004F4D38"/>
    <w:rsid w:val="004F5447"/>
    <w:rsid w:val="00500508"/>
    <w:rsid w:val="005006B7"/>
    <w:rsid w:val="005014F2"/>
    <w:rsid w:val="005015AE"/>
    <w:rsid w:val="00501AED"/>
    <w:rsid w:val="005020D9"/>
    <w:rsid w:val="00503FBE"/>
    <w:rsid w:val="00503FC7"/>
    <w:rsid w:val="00504880"/>
    <w:rsid w:val="00504C8A"/>
    <w:rsid w:val="005061E9"/>
    <w:rsid w:val="005101F1"/>
    <w:rsid w:val="00510750"/>
    <w:rsid w:val="0051316E"/>
    <w:rsid w:val="0051336A"/>
    <w:rsid w:val="00513B4A"/>
    <w:rsid w:val="00514DC3"/>
    <w:rsid w:val="00517544"/>
    <w:rsid w:val="00521257"/>
    <w:rsid w:val="00521B62"/>
    <w:rsid w:val="00522344"/>
    <w:rsid w:val="00522813"/>
    <w:rsid w:val="005229AE"/>
    <w:rsid w:val="00522A3C"/>
    <w:rsid w:val="0052408F"/>
    <w:rsid w:val="005273B3"/>
    <w:rsid w:val="00527C96"/>
    <w:rsid w:val="00530761"/>
    <w:rsid w:val="00530D3C"/>
    <w:rsid w:val="00530F1C"/>
    <w:rsid w:val="00531BAD"/>
    <w:rsid w:val="00531DCE"/>
    <w:rsid w:val="0053259B"/>
    <w:rsid w:val="00533EF7"/>
    <w:rsid w:val="00534655"/>
    <w:rsid w:val="00534B0D"/>
    <w:rsid w:val="00536A19"/>
    <w:rsid w:val="00536ABE"/>
    <w:rsid w:val="00537E10"/>
    <w:rsid w:val="005401A6"/>
    <w:rsid w:val="005402C1"/>
    <w:rsid w:val="00540CE0"/>
    <w:rsid w:val="0054132B"/>
    <w:rsid w:val="005428EB"/>
    <w:rsid w:val="00542FFB"/>
    <w:rsid w:val="00544A7C"/>
    <w:rsid w:val="0054550D"/>
    <w:rsid w:val="005460D2"/>
    <w:rsid w:val="00546A6D"/>
    <w:rsid w:val="00547AEE"/>
    <w:rsid w:val="00551982"/>
    <w:rsid w:val="00552931"/>
    <w:rsid w:val="00553EE1"/>
    <w:rsid w:val="00554D13"/>
    <w:rsid w:val="005574FD"/>
    <w:rsid w:val="00560166"/>
    <w:rsid w:val="00560628"/>
    <w:rsid w:val="00560963"/>
    <w:rsid w:val="005632ED"/>
    <w:rsid w:val="00563770"/>
    <w:rsid w:val="00563AC3"/>
    <w:rsid w:val="00564685"/>
    <w:rsid w:val="005649D3"/>
    <w:rsid w:val="00564B6A"/>
    <w:rsid w:val="0056514D"/>
    <w:rsid w:val="00566C6A"/>
    <w:rsid w:val="00566D52"/>
    <w:rsid w:val="00571AAD"/>
    <w:rsid w:val="00572D3F"/>
    <w:rsid w:val="00572DD3"/>
    <w:rsid w:val="00574DF5"/>
    <w:rsid w:val="00575B34"/>
    <w:rsid w:val="00577103"/>
    <w:rsid w:val="0058022B"/>
    <w:rsid w:val="00580C51"/>
    <w:rsid w:val="00581213"/>
    <w:rsid w:val="0058210F"/>
    <w:rsid w:val="00582128"/>
    <w:rsid w:val="00582371"/>
    <w:rsid w:val="00582938"/>
    <w:rsid w:val="00582A7F"/>
    <w:rsid w:val="005837BD"/>
    <w:rsid w:val="00583BAB"/>
    <w:rsid w:val="00584543"/>
    <w:rsid w:val="0058486F"/>
    <w:rsid w:val="00584A32"/>
    <w:rsid w:val="005865B3"/>
    <w:rsid w:val="005866FD"/>
    <w:rsid w:val="0058690A"/>
    <w:rsid w:val="00590058"/>
    <w:rsid w:val="005912A9"/>
    <w:rsid w:val="005919A5"/>
    <w:rsid w:val="0059315C"/>
    <w:rsid w:val="00593C25"/>
    <w:rsid w:val="00594218"/>
    <w:rsid w:val="0059537D"/>
    <w:rsid w:val="00596BB1"/>
    <w:rsid w:val="00597C6B"/>
    <w:rsid w:val="005A007D"/>
    <w:rsid w:val="005A1762"/>
    <w:rsid w:val="005A1995"/>
    <w:rsid w:val="005A1B60"/>
    <w:rsid w:val="005A35A3"/>
    <w:rsid w:val="005A3825"/>
    <w:rsid w:val="005A4CCA"/>
    <w:rsid w:val="005A4E76"/>
    <w:rsid w:val="005A5420"/>
    <w:rsid w:val="005A5554"/>
    <w:rsid w:val="005A7126"/>
    <w:rsid w:val="005A75D8"/>
    <w:rsid w:val="005A7648"/>
    <w:rsid w:val="005B1958"/>
    <w:rsid w:val="005B2E27"/>
    <w:rsid w:val="005B3981"/>
    <w:rsid w:val="005B3ECA"/>
    <w:rsid w:val="005B4684"/>
    <w:rsid w:val="005B4B8D"/>
    <w:rsid w:val="005B50FA"/>
    <w:rsid w:val="005B53A3"/>
    <w:rsid w:val="005B5628"/>
    <w:rsid w:val="005B7B09"/>
    <w:rsid w:val="005B7D27"/>
    <w:rsid w:val="005C0290"/>
    <w:rsid w:val="005C0B54"/>
    <w:rsid w:val="005C1A54"/>
    <w:rsid w:val="005C1F08"/>
    <w:rsid w:val="005C22D4"/>
    <w:rsid w:val="005C25C1"/>
    <w:rsid w:val="005C2A97"/>
    <w:rsid w:val="005C4E2D"/>
    <w:rsid w:val="005C6081"/>
    <w:rsid w:val="005C6622"/>
    <w:rsid w:val="005C69F4"/>
    <w:rsid w:val="005C6F58"/>
    <w:rsid w:val="005C70C2"/>
    <w:rsid w:val="005C7766"/>
    <w:rsid w:val="005C7F55"/>
    <w:rsid w:val="005D1C17"/>
    <w:rsid w:val="005D1DCD"/>
    <w:rsid w:val="005D225D"/>
    <w:rsid w:val="005D45C8"/>
    <w:rsid w:val="005D4845"/>
    <w:rsid w:val="005D49CA"/>
    <w:rsid w:val="005D524E"/>
    <w:rsid w:val="005D7E6F"/>
    <w:rsid w:val="005E025C"/>
    <w:rsid w:val="005E2035"/>
    <w:rsid w:val="005E2096"/>
    <w:rsid w:val="005E212F"/>
    <w:rsid w:val="005E2133"/>
    <w:rsid w:val="005E38F6"/>
    <w:rsid w:val="005E458B"/>
    <w:rsid w:val="005E4D29"/>
    <w:rsid w:val="005E59CB"/>
    <w:rsid w:val="005E7471"/>
    <w:rsid w:val="005E7AF3"/>
    <w:rsid w:val="005E7D8D"/>
    <w:rsid w:val="005F02DE"/>
    <w:rsid w:val="005F07C4"/>
    <w:rsid w:val="005F1483"/>
    <w:rsid w:val="005F1AAE"/>
    <w:rsid w:val="005F1F27"/>
    <w:rsid w:val="005F287A"/>
    <w:rsid w:val="005F34B7"/>
    <w:rsid w:val="005F392A"/>
    <w:rsid w:val="005F5A19"/>
    <w:rsid w:val="005F5BCD"/>
    <w:rsid w:val="005F5F55"/>
    <w:rsid w:val="005F6928"/>
    <w:rsid w:val="005F6C4C"/>
    <w:rsid w:val="00600666"/>
    <w:rsid w:val="006012C6"/>
    <w:rsid w:val="0060209E"/>
    <w:rsid w:val="006025BF"/>
    <w:rsid w:val="00602D7E"/>
    <w:rsid w:val="0060342B"/>
    <w:rsid w:val="006042D5"/>
    <w:rsid w:val="00604C81"/>
    <w:rsid w:val="006052BD"/>
    <w:rsid w:val="00605940"/>
    <w:rsid w:val="00605E6B"/>
    <w:rsid w:val="00611A6E"/>
    <w:rsid w:val="00616252"/>
    <w:rsid w:val="006171AD"/>
    <w:rsid w:val="00617A7B"/>
    <w:rsid w:val="00620B35"/>
    <w:rsid w:val="0062146E"/>
    <w:rsid w:val="006214FA"/>
    <w:rsid w:val="006219D7"/>
    <w:rsid w:val="00622C2C"/>
    <w:rsid w:val="00623139"/>
    <w:rsid w:val="00623CD4"/>
    <w:rsid w:val="00623D64"/>
    <w:rsid w:val="0062488E"/>
    <w:rsid w:val="00626B24"/>
    <w:rsid w:val="006270A8"/>
    <w:rsid w:val="00627A89"/>
    <w:rsid w:val="00630178"/>
    <w:rsid w:val="00631349"/>
    <w:rsid w:val="00631FB6"/>
    <w:rsid w:val="00632B25"/>
    <w:rsid w:val="006331F8"/>
    <w:rsid w:val="00634AAC"/>
    <w:rsid w:val="00634B71"/>
    <w:rsid w:val="006354A4"/>
    <w:rsid w:val="00635CCC"/>
    <w:rsid w:val="00636252"/>
    <w:rsid w:val="0063669F"/>
    <w:rsid w:val="00640544"/>
    <w:rsid w:val="006417C3"/>
    <w:rsid w:val="00641DDE"/>
    <w:rsid w:val="0064297A"/>
    <w:rsid w:val="00644768"/>
    <w:rsid w:val="00644ADE"/>
    <w:rsid w:val="006452AA"/>
    <w:rsid w:val="00645B66"/>
    <w:rsid w:val="00650D34"/>
    <w:rsid w:val="00651F93"/>
    <w:rsid w:val="00653123"/>
    <w:rsid w:val="006542E8"/>
    <w:rsid w:val="00654673"/>
    <w:rsid w:val="00654AC9"/>
    <w:rsid w:val="0065664F"/>
    <w:rsid w:val="00656D24"/>
    <w:rsid w:val="006612D7"/>
    <w:rsid w:val="006626BD"/>
    <w:rsid w:val="0066287B"/>
    <w:rsid w:val="00663744"/>
    <w:rsid w:val="00665649"/>
    <w:rsid w:val="00667684"/>
    <w:rsid w:val="0067272B"/>
    <w:rsid w:val="006736D9"/>
    <w:rsid w:val="00673B31"/>
    <w:rsid w:val="00674402"/>
    <w:rsid w:val="0067503A"/>
    <w:rsid w:val="0067678A"/>
    <w:rsid w:val="00677547"/>
    <w:rsid w:val="00680542"/>
    <w:rsid w:val="00680991"/>
    <w:rsid w:val="00682973"/>
    <w:rsid w:val="006836E7"/>
    <w:rsid w:val="00683AB7"/>
    <w:rsid w:val="00684769"/>
    <w:rsid w:val="00684D6F"/>
    <w:rsid w:val="00684F1D"/>
    <w:rsid w:val="00684F26"/>
    <w:rsid w:val="00685DE0"/>
    <w:rsid w:val="00686789"/>
    <w:rsid w:val="00686941"/>
    <w:rsid w:val="006877B8"/>
    <w:rsid w:val="0069117C"/>
    <w:rsid w:val="00692BFC"/>
    <w:rsid w:val="00693365"/>
    <w:rsid w:val="006934FB"/>
    <w:rsid w:val="00693764"/>
    <w:rsid w:val="00693B1C"/>
    <w:rsid w:val="00695812"/>
    <w:rsid w:val="00695DFC"/>
    <w:rsid w:val="0069793B"/>
    <w:rsid w:val="00697D81"/>
    <w:rsid w:val="006A024E"/>
    <w:rsid w:val="006A0F54"/>
    <w:rsid w:val="006A19E3"/>
    <w:rsid w:val="006A3532"/>
    <w:rsid w:val="006A567E"/>
    <w:rsid w:val="006A63EB"/>
    <w:rsid w:val="006A6B2F"/>
    <w:rsid w:val="006B1650"/>
    <w:rsid w:val="006B18D6"/>
    <w:rsid w:val="006B1F36"/>
    <w:rsid w:val="006B348F"/>
    <w:rsid w:val="006B5472"/>
    <w:rsid w:val="006B5ACC"/>
    <w:rsid w:val="006B685A"/>
    <w:rsid w:val="006B7D7B"/>
    <w:rsid w:val="006C0082"/>
    <w:rsid w:val="006C16E3"/>
    <w:rsid w:val="006C1D38"/>
    <w:rsid w:val="006C2778"/>
    <w:rsid w:val="006C28AE"/>
    <w:rsid w:val="006C2984"/>
    <w:rsid w:val="006C3112"/>
    <w:rsid w:val="006C3508"/>
    <w:rsid w:val="006C3C04"/>
    <w:rsid w:val="006C5BED"/>
    <w:rsid w:val="006C67ED"/>
    <w:rsid w:val="006C6AC1"/>
    <w:rsid w:val="006C74B5"/>
    <w:rsid w:val="006D3387"/>
    <w:rsid w:val="006D577F"/>
    <w:rsid w:val="006D6358"/>
    <w:rsid w:val="006D6A2E"/>
    <w:rsid w:val="006D6C43"/>
    <w:rsid w:val="006D7C98"/>
    <w:rsid w:val="006E018E"/>
    <w:rsid w:val="006E0CAE"/>
    <w:rsid w:val="006E1103"/>
    <w:rsid w:val="006E1538"/>
    <w:rsid w:val="006E1A61"/>
    <w:rsid w:val="006E2121"/>
    <w:rsid w:val="006E25A5"/>
    <w:rsid w:val="006E2D93"/>
    <w:rsid w:val="006E35C2"/>
    <w:rsid w:val="006E3692"/>
    <w:rsid w:val="006E3E3F"/>
    <w:rsid w:val="006E3F04"/>
    <w:rsid w:val="006E3F10"/>
    <w:rsid w:val="006E55E9"/>
    <w:rsid w:val="006E6472"/>
    <w:rsid w:val="006E6FC5"/>
    <w:rsid w:val="006F0F97"/>
    <w:rsid w:val="006F0FA0"/>
    <w:rsid w:val="006F1502"/>
    <w:rsid w:val="006F355C"/>
    <w:rsid w:val="006F4C55"/>
    <w:rsid w:val="006F618F"/>
    <w:rsid w:val="006F63C3"/>
    <w:rsid w:val="006F7070"/>
    <w:rsid w:val="006F72C5"/>
    <w:rsid w:val="007002FA"/>
    <w:rsid w:val="007015EF"/>
    <w:rsid w:val="0070184F"/>
    <w:rsid w:val="00701DA3"/>
    <w:rsid w:val="00702342"/>
    <w:rsid w:val="00705583"/>
    <w:rsid w:val="0070565A"/>
    <w:rsid w:val="00706764"/>
    <w:rsid w:val="007117A0"/>
    <w:rsid w:val="0071196A"/>
    <w:rsid w:val="00712A58"/>
    <w:rsid w:val="00713906"/>
    <w:rsid w:val="00714BDD"/>
    <w:rsid w:val="00714DE8"/>
    <w:rsid w:val="00715E02"/>
    <w:rsid w:val="00716951"/>
    <w:rsid w:val="007169FD"/>
    <w:rsid w:val="00717932"/>
    <w:rsid w:val="0072042D"/>
    <w:rsid w:val="00721D69"/>
    <w:rsid w:val="007221D3"/>
    <w:rsid w:val="00723ACF"/>
    <w:rsid w:val="00723B2C"/>
    <w:rsid w:val="00724633"/>
    <w:rsid w:val="00724EF6"/>
    <w:rsid w:val="0072670D"/>
    <w:rsid w:val="00731BBC"/>
    <w:rsid w:val="00731D2C"/>
    <w:rsid w:val="00732B77"/>
    <w:rsid w:val="00733349"/>
    <w:rsid w:val="00734403"/>
    <w:rsid w:val="007344D2"/>
    <w:rsid w:val="007345A5"/>
    <w:rsid w:val="00734862"/>
    <w:rsid w:val="00735F26"/>
    <w:rsid w:val="00737345"/>
    <w:rsid w:val="007373AB"/>
    <w:rsid w:val="00737B6D"/>
    <w:rsid w:val="00741CFA"/>
    <w:rsid w:val="00744CEA"/>
    <w:rsid w:val="00745806"/>
    <w:rsid w:val="00745AEC"/>
    <w:rsid w:val="00746C53"/>
    <w:rsid w:val="00747FF8"/>
    <w:rsid w:val="00752665"/>
    <w:rsid w:val="007532DC"/>
    <w:rsid w:val="00753CBE"/>
    <w:rsid w:val="00754D29"/>
    <w:rsid w:val="00755709"/>
    <w:rsid w:val="00755AD2"/>
    <w:rsid w:val="00756101"/>
    <w:rsid w:val="0075670A"/>
    <w:rsid w:val="0075698D"/>
    <w:rsid w:val="00757158"/>
    <w:rsid w:val="0075751E"/>
    <w:rsid w:val="00757C32"/>
    <w:rsid w:val="00757DA5"/>
    <w:rsid w:val="00760784"/>
    <w:rsid w:val="007616A0"/>
    <w:rsid w:val="00761A3D"/>
    <w:rsid w:val="00761E96"/>
    <w:rsid w:val="00761FDF"/>
    <w:rsid w:val="00762D22"/>
    <w:rsid w:val="00763A3B"/>
    <w:rsid w:val="007640DA"/>
    <w:rsid w:val="00765155"/>
    <w:rsid w:val="007657DE"/>
    <w:rsid w:val="0076661E"/>
    <w:rsid w:val="00766B3A"/>
    <w:rsid w:val="007671DF"/>
    <w:rsid w:val="0076770C"/>
    <w:rsid w:val="00770231"/>
    <w:rsid w:val="00770591"/>
    <w:rsid w:val="00771790"/>
    <w:rsid w:val="00771AC4"/>
    <w:rsid w:val="00772A6E"/>
    <w:rsid w:val="007733F6"/>
    <w:rsid w:val="00776CB5"/>
    <w:rsid w:val="0077730A"/>
    <w:rsid w:val="007802DB"/>
    <w:rsid w:val="00780852"/>
    <w:rsid w:val="00781E5B"/>
    <w:rsid w:val="00782297"/>
    <w:rsid w:val="007823BF"/>
    <w:rsid w:val="0078276F"/>
    <w:rsid w:val="007828EA"/>
    <w:rsid w:val="00782DEC"/>
    <w:rsid w:val="007831EB"/>
    <w:rsid w:val="0078489E"/>
    <w:rsid w:val="00785F89"/>
    <w:rsid w:val="00785FE1"/>
    <w:rsid w:val="007864AF"/>
    <w:rsid w:val="00786E19"/>
    <w:rsid w:val="00791427"/>
    <w:rsid w:val="00791CCB"/>
    <w:rsid w:val="007922A9"/>
    <w:rsid w:val="007939D0"/>
    <w:rsid w:val="0079423D"/>
    <w:rsid w:val="0079442E"/>
    <w:rsid w:val="00794C7D"/>
    <w:rsid w:val="00795D65"/>
    <w:rsid w:val="00795E31"/>
    <w:rsid w:val="00796A68"/>
    <w:rsid w:val="00796EED"/>
    <w:rsid w:val="007971A4"/>
    <w:rsid w:val="007A0708"/>
    <w:rsid w:val="007A1CC1"/>
    <w:rsid w:val="007A2FA2"/>
    <w:rsid w:val="007A37C4"/>
    <w:rsid w:val="007A4CF2"/>
    <w:rsid w:val="007A532B"/>
    <w:rsid w:val="007A5801"/>
    <w:rsid w:val="007A5812"/>
    <w:rsid w:val="007A592B"/>
    <w:rsid w:val="007A5E6A"/>
    <w:rsid w:val="007A6AA3"/>
    <w:rsid w:val="007A6B08"/>
    <w:rsid w:val="007A6E8C"/>
    <w:rsid w:val="007A7045"/>
    <w:rsid w:val="007B2620"/>
    <w:rsid w:val="007B275B"/>
    <w:rsid w:val="007B2E7D"/>
    <w:rsid w:val="007B64E2"/>
    <w:rsid w:val="007B6559"/>
    <w:rsid w:val="007B66CF"/>
    <w:rsid w:val="007B6BD1"/>
    <w:rsid w:val="007C0696"/>
    <w:rsid w:val="007C069D"/>
    <w:rsid w:val="007C0CB4"/>
    <w:rsid w:val="007C120E"/>
    <w:rsid w:val="007C35D1"/>
    <w:rsid w:val="007C4029"/>
    <w:rsid w:val="007C4F36"/>
    <w:rsid w:val="007C5F2A"/>
    <w:rsid w:val="007C67FE"/>
    <w:rsid w:val="007C7F72"/>
    <w:rsid w:val="007D09C2"/>
    <w:rsid w:val="007D151F"/>
    <w:rsid w:val="007D1EA2"/>
    <w:rsid w:val="007D2AEA"/>
    <w:rsid w:val="007D3B97"/>
    <w:rsid w:val="007D3BE7"/>
    <w:rsid w:val="007D3E66"/>
    <w:rsid w:val="007D4337"/>
    <w:rsid w:val="007D5D49"/>
    <w:rsid w:val="007D704E"/>
    <w:rsid w:val="007D7361"/>
    <w:rsid w:val="007D739E"/>
    <w:rsid w:val="007D7B5D"/>
    <w:rsid w:val="007E1005"/>
    <w:rsid w:val="007E2BBC"/>
    <w:rsid w:val="007E3929"/>
    <w:rsid w:val="007E3996"/>
    <w:rsid w:val="007E5C9A"/>
    <w:rsid w:val="007E621D"/>
    <w:rsid w:val="007E7B36"/>
    <w:rsid w:val="007E7FE6"/>
    <w:rsid w:val="007F0FBC"/>
    <w:rsid w:val="007F24E6"/>
    <w:rsid w:val="007F2B13"/>
    <w:rsid w:val="007F4B34"/>
    <w:rsid w:val="007F79D9"/>
    <w:rsid w:val="008006B3"/>
    <w:rsid w:val="00800CBB"/>
    <w:rsid w:val="008018EC"/>
    <w:rsid w:val="00802154"/>
    <w:rsid w:val="00802244"/>
    <w:rsid w:val="00802D27"/>
    <w:rsid w:val="0080505A"/>
    <w:rsid w:val="00805BC2"/>
    <w:rsid w:val="00806414"/>
    <w:rsid w:val="0081049C"/>
    <w:rsid w:val="008125D4"/>
    <w:rsid w:val="00812659"/>
    <w:rsid w:val="00812756"/>
    <w:rsid w:val="00812DF2"/>
    <w:rsid w:val="0081415E"/>
    <w:rsid w:val="00814B50"/>
    <w:rsid w:val="00815221"/>
    <w:rsid w:val="008152C0"/>
    <w:rsid w:val="00817E72"/>
    <w:rsid w:val="008204C9"/>
    <w:rsid w:val="00820EC6"/>
    <w:rsid w:val="00821489"/>
    <w:rsid w:val="00821F2F"/>
    <w:rsid w:val="00823211"/>
    <w:rsid w:val="00823CED"/>
    <w:rsid w:val="00824247"/>
    <w:rsid w:val="008244AE"/>
    <w:rsid w:val="00824D7D"/>
    <w:rsid w:val="00824DD1"/>
    <w:rsid w:val="00826DA0"/>
    <w:rsid w:val="00826F4C"/>
    <w:rsid w:val="00831A53"/>
    <w:rsid w:val="008347A3"/>
    <w:rsid w:val="00834CCA"/>
    <w:rsid w:val="008352AE"/>
    <w:rsid w:val="008368D0"/>
    <w:rsid w:val="008373A4"/>
    <w:rsid w:val="00837A0E"/>
    <w:rsid w:val="00841B34"/>
    <w:rsid w:val="0084285A"/>
    <w:rsid w:val="00843889"/>
    <w:rsid w:val="00843A7F"/>
    <w:rsid w:val="00843E46"/>
    <w:rsid w:val="008440B5"/>
    <w:rsid w:val="00846FCD"/>
    <w:rsid w:val="00850302"/>
    <w:rsid w:val="008504D6"/>
    <w:rsid w:val="00850C88"/>
    <w:rsid w:val="00852895"/>
    <w:rsid w:val="008530F3"/>
    <w:rsid w:val="008535E4"/>
    <w:rsid w:val="00854196"/>
    <w:rsid w:val="0085436A"/>
    <w:rsid w:val="0085442E"/>
    <w:rsid w:val="008572D3"/>
    <w:rsid w:val="008577E7"/>
    <w:rsid w:val="00857CE5"/>
    <w:rsid w:val="00860253"/>
    <w:rsid w:val="008604C3"/>
    <w:rsid w:val="0086180C"/>
    <w:rsid w:val="00861FC0"/>
    <w:rsid w:val="0086294F"/>
    <w:rsid w:val="00863270"/>
    <w:rsid w:val="00863417"/>
    <w:rsid w:val="00864486"/>
    <w:rsid w:val="00864565"/>
    <w:rsid w:val="00866175"/>
    <w:rsid w:val="00866F7B"/>
    <w:rsid w:val="008703B3"/>
    <w:rsid w:val="008704F2"/>
    <w:rsid w:val="00870EE9"/>
    <w:rsid w:val="00870F75"/>
    <w:rsid w:val="00873002"/>
    <w:rsid w:val="0087302A"/>
    <w:rsid w:val="008738C7"/>
    <w:rsid w:val="00873972"/>
    <w:rsid w:val="008748CF"/>
    <w:rsid w:val="008756B3"/>
    <w:rsid w:val="00876B22"/>
    <w:rsid w:val="00880D87"/>
    <w:rsid w:val="008825B2"/>
    <w:rsid w:val="00882802"/>
    <w:rsid w:val="00882F14"/>
    <w:rsid w:val="008835AF"/>
    <w:rsid w:val="0088434D"/>
    <w:rsid w:val="00884925"/>
    <w:rsid w:val="00885767"/>
    <w:rsid w:val="00886B43"/>
    <w:rsid w:val="008900B2"/>
    <w:rsid w:val="00890AEF"/>
    <w:rsid w:val="008928E1"/>
    <w:rsid w:val="008930AE"/>
    <w:rsid w:val="00893747"/>
    <w:rsid w:val="008938B1"/>
    <w:rsid w:val="00893F91"/>
    <w:rsid w:val="0089437F"/>
    <w:rsid w:val="00894C72"/>
    <w:rsid w:val="008A0551"/>
    <w:rsid w:val="008A0620"/>
    <w:rsid w:val="008A0706"/>
    <w:rsid w:val="008A1233"/>
    <w:rsid w:val="008A197C"/>
    <w:rsid w:val="008A1F66"/>
    <w:rsid w:val="008A2E4B"/>
    <w:rsid w:val="008A35CA"/>
    <w:rsid w:val="008A4536"/>
    <w:rsid w:val="008A6239"/>
    <w:rsid w:val="008A63CA"/>
    <w:rsid w:val="008A6886"/>
    <w:rsid w:val="008A6E4C"/>
    <w:rsid w:val="008A7387"/>
    <w:rsid w:val="008A7468"/>
    <w:rsid w:val="008B0F23"/>
    <w:rsid w:val="008B132B"/>
    <w:rsid w:val="008B3C21"/>
    <w:rsid w:val="008B6223"/>
    <w:rsid w:val="008C17C5"/>
    <w:rsid w:val="008C2956"/>
    <w:rsid w:val="008C36FD"/>
    <w:rsid w:val="008C42AD"/>
    <w:rsid w:val="008C449C"/>
    <w:rsid w:val="008C5360"/>
    <w:rsid w:val="008C581A"/>
    <w:rsid w:val="008C7D78"/>
    <w:rsid w:val="008D20FF"/>
    <w:rsid w:val="008D36E4"/>
    <w:rsid w:val="008D4154"/>
    <w:rsid w:val="008D4B0B"/>
    <w:rsid w:val="008D5018"/>
    <w:rsid w:val="008D5CA5"/>
    <w:rsid w:val="008D6FD6"/>
    <w:rsid w:val="008E419A"/>
    <w:rsid w:val="008E5214"/>
    <w:rsid w:val="008E6217"/>
    <w:rsid w:val="008E63E0"/>
    <w:rsid w:val="008E6587"/>
    <w:rsid w:val="008E6CE2"/>
    <w:rsid w:val="008E6F83"/>
    <w:rsid w:val="008E7DE2"/>
    <w:rsid w:val="008F0E08"/>
    <w:rsid w:val="008F132E"/>
    <w:rsid w:val="008F264E"/>
    <w:rsid w:val="008F32F6"/>
    <w:rsid w:val="008F3549"/>
    <w:rsid w:val="008F3B28"/>
    <w:rsid w:val="008F3E50"/>
    <w:rsid w:val="008F449A"/>
    <w:rsid w:val="008F48EB"/>
    <w:rsid w:val="008F4C3A"/>
    <w:rsid w:val="008F6930"/>
    <w:rsid w:val="008F6AE8"/>
    <w:rsid w:val="008F74F9"/>
    <w:rsid w:val="008F7635"/>
    <w:rsid w:val="008F78D2"/>
    <w:rsid w:val="0090240B"/>
    <w:rsid w:val="00902F9C"/>
    <w:rsid w:val="00903594"/>
    <w:rsid w:val="00904540"/>
    <w:rsid w:val="0090482B"/>
    <w:rsid w:val="00904CC5"/>
    <w:rsid w:val="009051C8"/>
    <w:rsid w:val="009052BA"/>
    <w:rsid w:val="00906701"/>
    <w:rsid w:val="00910033"/>
    <w:rsid w:val="00911CD9"/>
    <w:rsid w:val="00912C4C"/>
    <w:rsid w:val="00913724"/>
    <w:rsid w:val="009138E5"/>
    <w:rsid w:val="00915B8E"/>
    <w:rsid w:val="00916B7E"/>
    <w:rsid w:val="00921422"/>
    <w:rsid w:val="00921A0C"/>
    <w:rsid w:val="00921C25"/>
    <w:rsid w:val="00921C5B"/>
    <w:rsid w:val="0092235E"/>
    <w:rsid w:val="009225A1"/>
    <w:rsid w:val="00923281"/>
    <w:rsid w:val="00923467"/>
    <w:rsid w:val="00924CEA"/>
    <w:rsid w:val="00925A15"/>
    <w:rsid w:val="00926E67"/>
    <w:rsid w:val="00927231"/>
    <w:rsid w:val="00927E4D"/>
    <w:rsid w:val="0093037D"/>
    <w:rsid w:val="009306F4"/>
    <w:rsid w:val="009319B6"/>
    <w:rsid w:val="00932C90"/>
    <w:rsid w:val="009334AA"/>
    <w:rsid w:val="009334FC"/>
    <w:rsid w:val="009341F5"/>
    <w:rsid w:val="00934B4C"/>
    <w:rsid w:val="00934EEA"/>
    <w:rsid w:val="00935159"/>
    <w:rsid w:val="009361A2"/>
    <w:rsid w:val="009369F0"/>
    <w:rsid w:val="00936C74"/>
    <w:rsid w:val="00937669"/>
    <w:rsid w:val="00942537"/>
    <w:rsid w:val="00943215"/>
    <w:rsid w:val="0094342F"/>
    <w:rsid w:val="00943E54"/>
    <w:rsid w:val="00944A92"/>
    <w:rsid w:val="00950683"/>
    <w:rsid w:val="0095176F"/>
    <w:rsid w:val="00952763"/>
    <w:rsid w:val="00952F9A"/>
    <w:rsid w:val="00953B5C"/>
    <w:rsid w:val="009555A6"/>
    <w:rsid w:val="00955C57"/>
    <w:rsid w:val="00961003"/>
    <w:rsid w:val="00961622"/>
    <w:rsid w:val="009618F0"/>
    <w:rsid w:val="00961CBF"/>
    <w:rsid w:val="00962272"/>
    <w:rsid w:val="00963696"/>
    <w:rsid w:val="00963964"/>
    <w:rsid w:val="0096495C"/>
    <w:rsid w:val="009667D9"/>
    <w:rsid w:val="0096680B"/>
    <w:rsid w:val="009703A7"/>
    <w:rsid w:val="00970A98"/>
    <w:rsid w:val="009717BF"/>
    <w:rsid w:val="00976A5A"/>
    <w:rsid w:val="00980C9F"/>
    <w:rsid w:val="0098267E"/>
    <w:rsid w:val="00982B7C"/>
    <w:rsid w:val="00982FE7"/>
    <w:rsid w:val="00983084"/>
    <w:rsid w:val="0098378C"/>
    <w:rsid w:val="00984903"/>
    <w:rsid w:val="00984D42"/>
    <w:rsid w:val="00985132"/>
    <w:rsid w:val="00985659"/>
    <w:rsid w:val="00985A77"/>
    <w:rsid w:val="00985B82"/>
    <w:rsid w:val="00990799"/>
    <w:rsid w:val="00990A61"/>
    <w:rsid w:val="00991259"/>
    <w:rsid w:val="009932FE"/>
    <w:rsid w:val="0099365E"/>
    <w:rsid w:val="00994515"/>
    <w:rsid w:val="009956B8"/>
    <w:rsid w:val="009960DF"/>
    <w:rsid w:val="009965A9"/>
    <w:rsid w:val="00997145"/>
    <w:rsid w:val="00997190"/>
    <w:rsid w:val="0099727B"/>
    <w:rsid w:val="00997C0E"/>
    <w:rsid w:val="009A01F3"/>
    <w:rsid w:val="009A1547"/>
    <w:rsid w:val="009A21E3"/>
    <w:rsid w:val="009A53B3"/>
    <w:rsid w:val="009A79F7"/>
    <w:rsid w:val="009A7EA7"/>
    <w:rsid w:val="009B0312"/>
    <w:rsid w:val="009B06DD"/>
    <w:rsid w:val="009B1D91"/>
    <w:rsid w:val="009B32B8"/>
    <w:rsid w:val="009B3AEF"/>
    <w:rsid w:val="009B4D8C"/>
    <w:rsid w:val="009B537B"/>
    <w:rsid w:val="009B5486"/>
    <w:rsid w:val="009B6016"/>
    <w:rsid w:val="009B688D"/>
    <w:rsid w:val="009B6939"/>
    <w:rsid w:val="009B6BD6"/>
    <w:rsid w:val="009B7DD9"/>
    <w:rsid w:val="009C01C3"/>
    <w:rsid w:val="009C0241"/>
    <w:rsid w:val="009C156C"/>
    <w:rsid w:val="009C1E38"/>
    <w:rsid w:val="009C26B6"/>
    <w:rsid w:val="009C2792"/>
    <w:rsid w:val="009C3AA5"/>
    <w:rsid w:val="009C40EB"/>
    <w:rsid w:val="009C4524"/>
    <w:rsid w:val="009C4A6D"/>
    <w:rsid w:val="009C4AAA"/>
    <w:rsid w:val="009C5DC2"/>
    <w:rsid w:val="009C6B50"/>
    <w:rsid w:val="009C7043"/>
    <w:rsid w:val="009D03F5"/>
    <w:rsid w:val="009D13B1"/>
    <w:rsid w:val="009D4160"/>
    <w:rsid w:val="009D47D4"/>
    <w:rsid w:val="009D55A0"/>
    <w:rsid w:val="009D7384"/>
    <w:rsid w:val="009E0E6F"/>
    <w:rsid w:val="009E2DA1"/>
    <w:rsid w:val="009E337D"/>
    <w:rsid w:val="009E43C9"/>
    <w:rsid w:val="009E4E36"/>
    <w:rsid w:val="009E58F1"/>
    <w:rsid w:val="009E7A62"/>
    <w:rsid w:val="009E7BB1"/>
    <w:rsid w:val="009F269F"/>
    <w:rsid w:val="009F2766"/>
    <w:rsid w:val="009F28E5"/>
    <w:rsid w:val="009F300B"/>
    <w:rsid w:val="009F3080"/>
    <w:rsid w:val="009F3AA5"/>
    <w:rsid w:val="009F4328"/>
    <w:rsid w:val="009F4A04"/>
    <w:rsid w:val="009F6552"/>
    <w:rsid w:val="009F6AA2"/>
    <w:rsid w:val="009F6B84"/>
    <w:rsid w:val="009F7195"/>
    <w:rsid w:val="00A0028C"/>
    <w:rsid w:val="00A01E4E"/>
    <w:rsid w:val="00A02523"/>
    <w:rsid w:val="00A02A55"/>
    <w:rsid w:val="00A03298"/>
    <w:rsid w:val="00A034A0"/>
    <w:rsid w:val="00A042C9"/>
    <w:rsid w:val="00A04438"/>
    <w:rsid w:val="00A04E3D"/>
    <w:rsid w:val="00A05C70"/>
    <w:rsid w:val="00A05EC1"/>
    <w:rsid w:val="00A063C5"/>
    <w:rsid w:val="00A06D8F"/>
    <w:rsid w:val="00A07831"/>
    <w:rsid w:val="00A1004D"/>
    <w:rsid w:val="00A1086D"/>
    <w:rsid w:val="00A10C42"/>
    <w:rsid w:val="00A116BA"/>
    <w:rsid w:val="00A12716"/>
    <w:rsid w:val="00A1371B"/>
    <w:rsid w:val="00A13AFF"/>
    <w:rsid w:val="00A1548C"/>
    <w:rsid w:val="00A156B8"/>
    <w:rsid w:val="00A15A45"/>
    <w:rsid w:val="00A167AC"/>
    <w:rsid w:val="00A1787D"/>
    <w:rsid w:val="00A2029F"/>
    <w:rsid w:val="00A24D6C"/>
    <w:rsid w:val="00A26B7A"/>
    <w:rsid w:val="00A274F6"/>
    <w:rsid w:val="00A276D8"/>
    <w:rsid w:val="00A30183"/>
    <w:rsid w:val="00A30797"/>
    <w:rsid w:val="00A3097D"/>
    <w:rsid w:val="00A31D8E"/>
    <w:rsid w:val="00A335E4"/>
    <w:rsid w:val="00A33735"/>
    <w:rsid w:val="00A3492D"/>
    <w:rsid w:val="00A35C80"/>
    <w:rsid w:val="00A3784A"/>
    <w:rsid w:val="00A37E73"/>
    <w:rsid w:val="00A4065C"/>
    <w:rsid w:val="00A40F25"/>
    <w:rsid w:val="00A40F4F"/>
    <w:rsid w:val="00A40FFA"/>
    <w:rsid w:val="00A42892"/>
    <w:rsid w:val="00A42E87"/>
    <w:rsid w:val="00A43292"/>
    <w:rsid w:val="00A44763"/>
    <w:rsid w:val="00A459C9"/>
    <w:rsid w:val="00A476AA"/>
    <w:rsid w:val="00A477B9"/>
    <w:rsid w:val="00A47F4D"/>
    <w:rsid w:val="00A506BD"/>
    <w:rsid w:val="00A50763"/>
    <w:rsid w:val="00A51314"/>
    <w:rsid w:val="00A5399E"/>
    <w:rsid w:val="00A542B1"/>
    <w:rsid w:val="00A551B2"/>
    <w:rsid w:val="00A562F2"/>
    <w:rsid w:val="00A56380"/>
    <w:rsid w:val="00A5688B"/>
    <w:rsid w:val="00A57B0B"/>
    <w:rsid w:val="00A603E7"/>
    <w:rsid w:val="00A604A5"/>
    <w:rsid w:val="00A61300"/>
    <w:rsid w:val="00A6202B"/>
    <w:rsid w:val="00A64194"/>
    <w:rsid w:val="00A64461"/>
    <w:rsid w:val="00A65BE5"/>
    <w:rsid w:val="00A665C3"/>
    <w:rsid w:val="00A70150"/>
    <w:rsid w:val="00A705E4"/>
    <w:rsid w:val="00A70860"/>
    <w:rsid w:val="00A7376C"/>
    <w:rsid w:val="00A7400A"/>
    <w:rsid w:val="00A74642"/>
    <w:rsid w:val="00A749FA"/>
    <w:rsid w:val="00A74B05"/>
    <w:rsid w:val="00A753D2"/>
    <w:rsid w:val="00A75F7B"/>
    <w:rsid w:val="00A76241"/>
    <w:rsid w:val="00A76995"/>
    <w:rsid w:val="00A76AC7"/>
    <w:rsid w:val="00A77A09"/>
    <w:rsid w:val="00A813A2"/>
    <w:rsid w:val="00A81D55"/>
    <w:rsid w:val="00A8413A"/>
    <w:rsid w:val="00A86D7B"/>
    <w:rsid w:val="00A87BEF"/>
    <w:rsid w:val="00A87DC3"/>
    <w:rsid w:val="00A90636"/>
    <w:rsid w:val="00A90CFB"/>
    <w:rsid w:val="00A91636"/>
    <w:rsid w:val="00A9333D"/>
    <w:rsid w:val="00A93A89"/>
    <w:rsid w:val="00A93D92"/>
    <w:rsid w:val="00A9434B"/>
    <w:rsid w:val="00A9488E"/>
    <w:rsid w:val="00A949C7"/>
    <w:rsid w:val="00A94D3C"/>
    <w:rsid w:val="00A950A9"/>
    <w:rsid w:val="00A96661"/>
    <w:rsid w:val="00A968B2"/>
    <w:rsid w:val="00A971A6"/>
    <w:rsid w:val="00A97931"/>
    <w:rsid w:val="00AA0655"/>
    <w:rsid w:val="00AA1325"/>
    <w:rsid w:val="00AA297F"/>
    <w:rsid w:val="00AA3A3D"/>
    <w:rsid w:val="00AA52BA"/>
    <w:rsid w:val="00AA5CD4"/>
    <w:rsid w:val="00AA618F"/>
    <w:rsid w:val="00AA6376"/>
    <w:rsid w:val="00AA7BEB"/>
    <w:rsid w:val="00AB0582"/>
    <w:rsid w:val="00AB11C3"/>
    <w:rsid w:val="00AB138B"/>
    <w:rsid w:val="00AB13EE"/>
    <w:rsid w:val="00AB1619"/>
    <w:rsid w:val="00AB17F1"/>
    <w:rsid w:val="00AB2444"/>
    <w:rsid w:val="00AB24FE"/>
    <w:rsid w:val="00AB3A2A"/>
    <w:rsid w:val="00AB46C2"/>
    <w:rsid w:val="00AB79CE"/>
    <w:rsid w:val="00AB7F91"/>
    <w:rsid w:val="00AC0BDD"/>
    <w:rsid w:val="00AC1605"/>
    <w:rsid w:val="00AC1701"/>
    <w:rsid w:val="00AC251B"/>
    <w:rsid w:val="00AC2D90"/>
    <w:rsid w:val="00AC38F4"/>
    <w:rsid w:val="00AC3CD9"/>
    <w:rsid w:val="00AC443A"/>
    <w:rsid w:val="00AC47FE"/>
    <w:rsid w:val="00AC4F85"/>
    <w:rsid w:val="00AC5162"/>
    <w:rsid w:val="00AC57CD"/>
    <w:rsid w:val="00AC58FF"/>
    <w:rsid w:val="00AC5F0A"/>
    <w:rsid w:val="00AC63AE"/>
    <w:rsid w:val="00AC71BA"/>
    <w:rsid w:val="00AD0060"/>
    <w:rsid w:val="00AD0F53"/>
    <w:rsid w:val="00AD1E1D"/>
    <w:rsid w:val="00AD1EC0"/>
    <w:rsid w:val="00AD316F"/>
    <w:rsid w:val="00AD3B05"/>
    <w:rsid w:val="00AD4C6F"/>
    <w:rsid w:val="00AD7976"/>
    <w:rsid w:val="00AD7BB2"/>
    <w:rsid w:val="00AD7D31"/>
    <w:rsid w:val="00AE001A"/>
    <w:rsid w:val="00AE06BD"/>
    <w:rsid w:val="00AE0B6D"/>
    <w:rsid w:val="00AE0B77"/>
    <w:rsid w:val="00AE1BF8"/>
    <w:rsid w:val="00AE2750"/>
    <w:rsid w:val="00AE27E7"/>
    <w:rsid w:val="00AE3B34"/>
    <w:rsid w:val="00AE3C60"/>
    <w:rsid w:val="00AE3CE0"/>
    <w:rsid w:val="00AE3F97"/>
    <w:rsid w:val="00AE5992"/>
    <w:rsid w:val="00AE5FA1"/>
    <w:rsid w:val="00AE62DD"/>
    <w:rsid w:val="00AE7680"/>
    <w:rsid w:val="00AF0282"/>
    <w:rsid w:val="00AF3359"/>
    <w:rsid w:val="00AF4958"/>
    <w:rsid w:val="00AF6622"/>
    <w:rsid w:val="00AF6A5E"/>
    <w:rsid w:val="00AF6A63"/>
    <w:rsid w:val="00AF6F58"/>
    <w:rsid w:val="00AF7A8E"/>
    <w:rsid w:val="00B0025C"/>
    <w:rsid w:val="00B01D9D"/>
    <w:rsid w:val="00B0326A"/>
    <w:rsid w:val="00B04560"/>
    <w:rsid w:val="00B046B4"/>
    <w:rsid w:val="00B04965"/>
    <w:rsid w:val="00B04EEA"/>
    <w:rsid w:val="00B05142"/>
    <w:rsid w:val="00B0515F"/>
    <w:rsid w:val="00B055D2"/>
    <w:rsid w:val="00B06776"/>
    <w:rsid w:val="00B06D15"/>
    <w:rsid w:val="00B0731B"/>
    <w:rsid w:val="00B07D58"/>
    <w:rsid w:val="00B1024D"/>
    <w:rsid w:val="00B10F6A"/>
    <w:rsid w:val="00B10F7E"/>
    <w:rsid w:val="00B110FB"/>
    <w:rsid w:val="00B11BEC"/>
    <w:rsid w:val="00B13676"/>
    <w:rsid w:val="00B13FFB"/>
    <w:rsid w:val="00B145E5"/>
    <w:rsid w:val="00B14AF7"/>
    <w:rsid w:val="00B15492"/>
    <w:rsid w:val="00B171CE"/>
    <w:rsid w:val="00B22A50"/>
    <w:rsid w:val="00B22E38"/>
    <w:rsid w:val="00B234E3"/>
    <w:rsid w:val="00B23F91"/>
    <w:rsid w:val="00B24613"/>
    <w:rsid w:val="00B248E5"/>
    <w:rsid w:val="00B25CC0"/>
    <w:rsid w:val="00B2650F"/>
    <w:rsid w:val="00B2654E"/>
    <w:rsid w:val="00B26860"/>
    <w:rsid w:val="00B26C81"/>
    <w:rsid w:val="00B272AE"/>
    <w:rsid w:val="00B27F9C"/>
    <w:rsid w:val="00B3027C"/>
    <w:rsid w:val="00B30AEA"/>
    <w:rsid w:val="00B30E23"/>
    <w:rsid w:val="00B3164C"/>
    <w:rsid w:val="00B3213D"/>
    <w:rsid w:val="00B3255F"/>
    <w:rsid w:val="00B34BBF"/>
    <w:rsid w:val="00B34EA6"/>
    <w:rsid w:val="00B35CE2"/>
    <w:rsid w:val="00B36A7D"/>
    <w:rsid w:val="00B37EAF"/>
    <w:rsid w:val="00B4047B"/>
    <w:rsid w:val="00B4079D"/>
    <w:rsid w:val="00B40994"/>
    <w:rsid w:val="00B40DA8"/>
    <w:rsid w:val="00B41EB4"/>
    <w:rsid w:val="00B43093"/>
    <w:rsid w:val="00B43417"/>
    <w:rsid w:val="00B43FBB"/>
    <w:rsid w:val="00B441BD"/>
    <w:rsid w:val="00B449E9"/>
    <w:rsid w:val="00B4532B"/>
    <w:rsid w:val="00B45CF9"/>
    <w:rsid w:val="00B472B5"/>
    <w:rsid w:val="00B47E78"/>
    <w:rsid w:val="00B50CBD"/>
    <w:rsid w:val="00B50E84"/>
    <w:rsid w:val="00B51604"/>
    <w:rsid w:val="00B525C1"/>
    <w:rsid w:val="00B52C82"/>
    <w:rsid w:val="00B5353E"/>
    <w:rsid w:val="00B54083"/>
    <w:rsid w:val="00B541CB"/>
    <w:rsid w:val="00B553A7"/>
    <w:rsid w:val="00B559E9"/>
    <w:rsid w:val="00B56731"/>
    <w:rsid w:val="00B6050F"/>
    <w:rsid w:val="00B60E2C"/>
    <w:rsid w:val="00B60E37"/>
    <w:rsid w:val="00B618F9"/>
    <w:rsid w:val="00B61984"/>
    <w:rsid w:val="00B62066"/>
    <w:rsid w:val="00B62D15"/>
    <w:rsid w:val="00B63D82"/>
    <w:rsid w:val="00B64505"/>
    <w:rsid w:val="00B6583D"/>
    <w:rsid w:val="00B665B2"/>
    <w:rsid w:val="00B6663B"/>
    <w:rsid w:val="00B669F1"/>
    <w:rsid w:val="00B70460"/>
    <w:rsid w:val="00B70A21"/>
    <w:rsid w:val="00B732BD"/>
    <w:rsid w:val="00B7441D"/>
    <w:rsid w:val="00B75618"/>
    <w:rsid w:val="00B7678F"/>
    <w:rsid w:val="00B77C61"/>
    <w:rsid w:val="00B811BB"/>
    <w:rsid w:val="00B815C2"/>
    <w:rsid w:val="00B8310C"/>
    <w:rsid w:val="00B8515B"/>
    <w:rsid w:val="00B8568E"/>
    <w:rsid w:val="00B86146"/>
    <w:rsid w:val="00B90117"/>
    <w:rsid w:val="00B92373"/>
    <w:rsid w:val="00B92B61"/>
    <w:rsid w:val="00B92F15"/>
    <w:rsid w:val="00B9318B"/>
    <w:rsid w:val="00B93DF4"/>
    <w:rsid w:val="00B93E1E"/>
    <w:rsid w:val="00B9410A"/>
    <w:rsid w:val="00B94CE1"/>
    <w:rsid w:val="00B94F7B"/>
    <w:rsid w:val="00B953FA"/>
    <w:rsid w:val="00B956EE"/>
    <w:rsid w:val="00B95D32"/>
    <w:rsid w:val="00B967A1"/>
    <w:rsid w:val="00B96F1F"/>
    <w:rsid w:val="00BA00FF"/>
    <w:rsid w:val="00BA07AA"/>
    <w:rsid w:val="00BA087F"/>
    <w:rsid w:val="00BA08E7"/>
    <w:rsid w:val="00BA098A"/>
    <w:rsid w:val="00BA11DE"/>
    <w:rsid w:val="00BA1366"/>
    <w:rsid w:val="00BA1E74"/>
    <w:rsid w:val="00BA232A"/>
    <w:rsid w:val="00BA4562"/>
    <w:rsid w:val="00BA4B8A"/>
    <w:rsid w:val="00BA5B0E"/>
    <w:rsid w:val="00BA61B7"/>
    <w:rsid w:val="00BA63F2"/>
    <w:rsid w:val="00BB0496"/>
    <w:rsid w:val="00BB0B31"/>
    <w:rsid w:val="00BB2312"/>
    <w:rsid w:val="00BB272F"/>
    <w:rsid w:val="00BB3BE4"/>
    <w:rsid w:val="00BB47F1"/>
    <w:rsid w:val="00BB49A2"/>
    <w:rsid w:val="00BB4DFD"/>
    <w:rsid w:val="00BB5ED5"/>
    <w:rsid w:val="00BB6A01"/>
    <w:rsid w:val="00BB71D7"/>
    <w:rsid w:val="00BC0E4E"/>
    <w:rsid w:val="00BC1658"/>
    <w:rsid w:val="00BC21B4"/>
    <w:rsid w:val="00BC2859"/>
    <w:rsid w:val="00BC3FBD"/>
    <w:rsid w:val="00BC5C48"/>
    <w:rsid w:val="00BC7A48"/>
    <w:rsid w:val="00BD2585"/>
    <w:rsid w:val="00BD38ED"/>
    <w:rsid w:val="00BD42C3"/>
    <w:rsid w:val="00BD56DA"/>
    <w:rsid w:val="00BD7004"/>
    <w:rsid w:val="00BD70AC"/>
    <w:rsid w:val="00BE2226"/>
    <w:rsid w:val="00BE2F2C"/>
    <w:rsid w:val="00BE38EC"/>
    <w:rsid w:val="00BE4298"/>
    <w:rsid w:val="00BE503B"/>
    <w:rsid w:val="00BE5A6A"/>
    <w:rsid w:val="00BE6361"/>
    <w:rsid w:val="00BE6EF5"/>
    <w:rsid w:val="00BE7721"/>
    <w:rsid w:val="00BF08BA"/>
    <w:rsid w:val="00BF0AC4"/>
    <w:rsid w:val="00BF0C3B"/>
    <w:rsid w:val="00BF2478"/>
    <w:rsid w:val="00BF468A"/>
    <w:rsid w:val="00BF47FD"/>
    <w:rsid w:val="00BF4993"/>
    <w:rsid w:val="00BF543C"/>
    <w:rsid w:val="00BF5538"/>
    <w:rsid w:val="00BF560C"/>
    <w:rsid w:val="00BF5A31"/>
    <w:rsid w:val="00BF5EA8"/>
    <w:rsid w:val="00BF682C"/>
    <w:rsid w:val="00BF6B52"/>
    <w:rsid w:val="00BF7A2D"/>
    <w:rsid w:val="00C00617"/>
    <w:rsid w:val="00C01C64"/>
    <w:rsid w:val="00C04214"/>
    <w:rsid w:val="00C04FBF"/>
    <w:rsid w:val="00C060B5"/>
    <w:rsid w:val="00C06157"/>
    <w:rsid w:val="00C06F90"/>
    <w:rsid w:val="00C11CB0"/>
    <w:rsid w:val="00C11CD6"/>
    <w:rsid w:val="00C12932"/>
    <w:rsid w:val="00C1552A"/>
    <w:rsid w:val="00C15FBC"/>
    <w:rsid w:val="00C168FB"/>
    <w:rsid w:val="00C175F6"/>
    <w:rsid w:val="00C20562"/>
    <w:rsid w:val="00C2060B"/>
    <w:rsid w:val="00C210B6"/>
    <w:rsid w:val="00C21B32"/>
    <w:rsid w:val="00C21F33"/>
    <w:rsid w:val="00C2319E"/>
    <w:rsid w:val="00C24CEF"/>
    <w:rsid w:val="00C26415"/>
    <w:rsid w:val="00C26D16"/>
    <w:rsid w:val="00C274DA"/>
    <w:rsid w:val="00C31459"/>
    <w:rsid w:val="00C32DA7"/>
    <w:rsid w:val="00C33AAC"/>
    <w:rsid w:val="00C33D2F"/>
    <w:rsid w:val="00C34F16"/>
    <w:rsid w:val="00C37A39"/>
    <w:rsid w:val="00C37E42"/>
    <w:rsid w:val="00C4026D"/>
    <w:rsid w:val="00C4048C"/>
    <w:rsid w:val="00C407CE"/>
    <w:rsid w:val="00C41097"/>
    <w:rsid w:val="00C4255F"/>
    <w:rsid w:val="00C43583"/>
    <w:rsid w:val="00C44007"/>
    <w:rsid w:val="00C45467"/>
    <w:rsid w:val="00C4754C"/>
    <w:rsid w:val="00C4763C"/>
    <w:rsid w:val="00C477BB"/>
    <w:rsid w:val="00C51DA1"/>
    <w:rsid w:val="00C51F20"/>
    <w:rsid w:val="00C53B98"/>
    <w:rsid w:val="00C54284"/>
    <w:rsid w:val="00C55C3B"/>
    <w:rsid w:val="00C56083"/>
    <w:rsid w:val="00C5717F"/>
    <w:rsid w:val="00C573AA"/>
    <w:rsid w:val="00C573CC"/>
    <w:rsid w:val="00C60312"/>
    <w:rsid w:val="00C60730"/>
    <w:rsid w:val="00C60D9C"/>
    <w:rsid w:val="00C60ECA"/>
    <w:rsid w:val="00C62587"/>
    <w:rsid w:val="00C62668"/>
    <w:rsid w:val="00C62DC2"/>
    <w:rsid w:val="00C6701B"/>
    <w:rsid w:val="00C67ECB"/>
    <w:rsid w:val="00C7010C"/>
    <w:rsid w:val="00C701FD"/>
    <w:rsid w:val="00C70F41"/>
    <w:rsid w:val="00C71616"/>
    <w:rsid w:val="00C72EBC"/>
    <w:rsid w:val="00C73003"/>
    <w:rsid w:val="00C7338A"/>
    <w:rsid w:val="00C735EE"/>
    <w:rsid w:val="00C73FF9"/>
    <w:rsid w:val="00C74EA6"/>
    <w:rsid w:val="00C77878"/>
    <w:rsid w:val="00C77C2D"/>
    <w:rsid w:val="00C77ECD"/>
    <w:rsid w:val="00C81A91"/>
    <w:rsid w:val="00C8354C"/>
    <w:rsid w:val="00C84A6D"/>
    <w:rsid w:val="00C84E17"/>
    <w:rsid w:val="00C85079"/>
    <w:rsid w:val="00C87ECE"/>
    <w:rsid w:val="00C90834"/>
    <w:rsid w:val="00C9217C"/>
    <w:rsid w:val="00C941AC"/>
    <w:rsid w:val="00C94596"/>
    <w:rsid w:val="00C94860"/>
    <w:rsid w:val="00C9615E"/>
    <w:rsid w:val="00C96638"/>
    <w:rsid w:val="00C96FE3"/>
    <w:rsid w:val="00C9795C"/>
    <w:rsid w:val="00CA06E3"/>
    <w:rsid w:val="00CA220C"/>
    <w:rsid w:val="00CA3019"/>
    <w:rsid w:val="00CA30A2"/>
    <w:rsid w:val="00CA4E5A"/>
    <w:rsid w:val="00CA6334"/>
    <w:rsid w:val="00CA73FC"/>
    <w:rsid w:val="00CB0CBB"/>
    <w:rsid w:val="00CB0EBA"/>
    <w:rsid w:val="00CB0F0C"/>
    <w:rsid w:val="00CB11DE"/>
    <w:rsid w:val="00CB1353"/>
    <w:rsid w:val="00CB271F"/>
    <w:rsid w:val="00CB3DE6"/>
    <w:rsid w:val="00CB4AB1"/>
    <w:rsid w:val="00CB56A3"/>
    <w:rsid w:val="00CB6667"/>
    <w:rsid w:val="00CB6EF2"/>
    <w:rsid w:val="00CB796B"/>
    <w:rsid w:val="00CB7CB0"/>
    <w:rsid w:val="00CB7F67"/>
    <w:rsid w:val="00CC20B1"/>
    <w:rsid w:val="00CC3638"/>
    <w:rsid w:val="00CC5415"/>
    <w:rsid w:val="00CC64E8"/>
    <w:rsid w:val="00CD0023"/>
    <w:rsid w:val="00CD0972"/>
    <w:rsid w:val="00CD163C"/>
    <w:rsid w:val="00CD1AF8"/>
    <w:rsid w:val="00CD1D57"/>
    <w:rsid w:val="00CD3402"/>
    <w:rsid w:val="00CD3554"/>
    <w:rsid w:val="00CD3867"/>
    <w:rsid w:val="00CD3FB9"/>
    <w:rsid w:val="00CD4C4B"/>
    <w:rsid w:val="00CD5AC1"/>
    <w:rsid w:val="00CD6FD9"/>
    <w:rsid w:val="00CD7453"/>
    <w:rsid w:val="00CD7C89"/>
    <w:rsid w:val="00CD7DE9"/>
    <w:rsid w:val="00CE04D6"/>
    <w:rsid w:val="00CE0ED3"/>
    <w:rsid w:val="00CE25CE"/>
    <w:rsid w:val="00CE32CE"/>
    <w:rsid w:val="00CE3A59"/>
    <w:rsid w:val="00CE5BE4"/>
    <w:rsid w:val="00CE7BEE"/>
    <w:rsid w:val="00CF0715"/>
    <w:rsid w:val="00CF1799"/>
    <w:rsid w:val="00CF2668"/>
    <w:rsid w:val="00CF2771"/>
    <w:rsid w:val="00CF2899"/>
    <w:rsid w:val="00CF4B36"/>
    <w:rsid w:val="00CF4BBF"/>
    <w:rsid w:val="00CF4C92"/>
    <w:rsid w:val="00CF4FF3"/>
    <w:rsid w:val="00CF57D1"/>
    <w:rsid w:val="00CF5AC8"/>
    <w:rsid w:val="00CF7AF5"/>
    <w:rsid w:val="00CF7C63"/>
    <w:rsid w:val="00D0548F"/>
    <w:rsid w:val="00D067C6"/>
    <w:rsid w:val="00D06D1F"/>
    <w:rsid w:val="00D07E00"/>
    <w:rsid w:val="00D11802"/>
    <w:rsid w:val="00D12051"/>
    <w:rsid w:val="00D1331D"/>
    <w:rsid w:val="00D13347"/>
    <w:rsid w:val="00D13999"/>
    <w:rsid w:val="00D1455E"/>
    <w:rsid w:val="00D1682C"/>
    <w:rsid w:val="00D17940"/>
    <w:rsid w:val="00D17AD4"/>
    <w:rsid w:val="00D22567"/>
    <w:rsid w:val="00D2262C"/>
    <w:rsid w:val="00D22A85"/>
    <w:rsid w:val="00D23426"/>
    <w:rsid w:val="00D24784"/>
    <w:rsid w:val="00D25A67"/>
    <w:rsid w:val="00D267C3"/>
    <w:rsid w:val="00D26D0E"/>
    <w:rsid w:val="00D27210"/>
    <w:rsid w:val="00D325D9"/>
    <w:rsid w:val="00D34E0B"/>
    <w:rsid w:val="00D35528"/>
    <w:rsid w:val="00D35575"/>
    <w:rsid w:val="00D364CD"/>
    <w:rsid w:val="00D36CC8"/>
    <w:rsid w:val="00D405E7"/>
    <w:rsid w:val="00D40690"/>
    <w:rsid w:val="00D42F42"/>
    <w:rsid w:val="00D43529"/>
    <w:rsid w:val="00D4590C"/>
    <w:rsid w:val="00D45A48"/>
    <w:rsid w:val="00D476AB"/>
    <w:rsid w:val="00D51E68"/>
    <w:rsid w:val="00D54426"/>
    <w:rsid w:val="00D54F4E"/>
    <w:rsid w:val="00D55ACE"/>
    <w:rsid w:val="00D56002"/>
    <w:rsid w:val="00D5689B"/>
    <w:rsid w:val="00D57516"/>
    <w:rsid w:val="00D57C12"/>
    <w:rsid w:val="00D57FBB"/>
    <w:rsid w:val="00D61AC3"/>
    <w:rsid w:val="00D626F3"/>
    <w:rsid w:val="00D62A52"/>
    <w:rsid w:val="00D63FD3"/>
    <w:rsid w:val="00D64FEC"/>
    <w:rsid w:val="00D65583"/>
    <w:rsid w:val="00D65591"/>
    <w:rsid w:val="00D656DD"/>
    <w:rsid w:val="00D658FF"/>
    <w:rsid w:val="00D65A70"/>
    <w:rsid w:val="00D65DDE"/>
    <w:rsid w:val="00D65EB4"/>
    <w:rsid w:val="00D6641C"/>
    <w:rsid w:val="00D669CE"/>
    <w:rsid w:val="00D66BA4"/>
    <w:rsid w:val="00D718EA"/>
    <w:rsid w:val="00D7193F"/>
    <w:rsid w:val="00D71FF9"/>
    <w:rsid w:val="00D72EA0"/>
    <w:rsid w:val="00D747A5"/>
    <w:rsid w:val="00D761E3"/>
    <w:rsid w:val="00D76D15"/>
    <w:rsid w:val="00D8010E"/>
    <w:rsid w:val="00D81982"/>
    <w:rsid w:val="00D81F50"/>
    <w:rsid w:val="00D82045"/>
    <w:rsid w:val="00D8232F"/>
    <w:rsid w:val="00D84387"/>
    <w:rsid w:val="00D85E09"/>
    <w:rsid w:val="00D86094"/>
    <w:rsid w:val="00D86D9A"/>
    <w:rsid w:val="00D86E0B"/>
    <w:rsid w:val="00D8710F"/>
    <w:rsid w:val="00D877DF"/>
    <w:rsid w:val="00D90C54"/>
    <w:rsid w:val="00D91747"/>
    <w:rsid w:val="00D917FE"/>
    <w:rsid w:val="00D91C9A"/>
    <w:rsid w:val="00D92F0F"/>
    <w:rsid w:val="00D93014"/>
    <w:rsid w:val="00D9316D"/>
    <w:rsid w:val="00D946C7"/>
    <w:rsid w:val="00D94A35"/>
    <w:rsid w:val="00D955EC"/>
    <w:rsid w:val="00D95EEA"/>
    <w:rsid w:val="00DA06E5"/>
    <w:rsid w:val="00DA0E70"/>
    <w:rsid w:val="00DA189E"/>
    <w:rsid w:val="00DA2023"/>
    <w:rsid w:val="00DA513D"/>
    <w:rsid w:val="00DA613C"/>
    <w:rsid w:val="00DA7824"/>
    <w:rsid w:val="00DB0694"/>
    <w:rsid w:val="00DB395D"/>
    <w:rsid w:val="00DB396B"/>
    <w:rsid w:val="00DB4BAB"/>
    <w:rsid w:val="00DB640D"/>
    <w:rsid w:val="00DB67E3"/>
    <w:rsid w:val="00DB7957"/>
    <w:rsid w:val="00DC080D"/>
    <w:rsid w:val="00DC15DE"/>
    <w:rsid w:val="00DC20EA"/>
    <w:rsid w:val="00DC2194"/>
    <w:rsid w:val="00DC3AC8"/>
    <w:rsid w:val="00DC61B3"/>
    <w:rsid w:val="00DC6F10"/>
    <w:rsid w:val="00DC73CD"/>
    <w:rsid w:val="00DD1B6A"/>
    <w:rsid w:val="00DD22D3"/>
    <w:rsid w:val="00DD413F"/>
    <w:rsid w:val="00DD5A16"/>
    <w:rsid w:val="00DD5A26"/>
    <w:rsid w:val="00DD6563"/>
    <w:rsid w:val="00DD6F55"/>
    <w:rsid w:val="00DD752A"/>
    <w:rsid w:val="00DD766A"/>
    <w:rsid w:val="00DD77FF"/>
    <w:rsid w:val="00DD784A"/>
    <w:rsid w:val="00DE0B07"/>
    <w:rsid w:val="00DE171F"/>
    <w:rsid w:val="00DE25F3"/>
    <w:rsid w:val="00DE2D94"/>
    <w:rsid w:val="00DE30F6"/>
    <w:rsid w:val="00DE3E17"/>
    <w:rsid w:val="00DE42A1"/>
    <w:rsid w:val="00DE51D5"/>
    <w:rsid w:val="00DE686E"/>
    <w:rsid w:val="00DE6C0D"/>
    <w:rsid w:val="00DE6C14"/>
    <w:rsid w:val="00DE795D"/>
    <w:rsid w:val="00DF2532"/>
    <w:rsid w:val="00DF2BF4"/>
    <w:rsid w:val="00DF3332"/>
    <w:rsid w:val="00DF3B9F"/>
    <w:rsid w:val="00DF5AE1"/>
    <w:rsid w:val="00DF5D83"/>
    <w:rsid w:val="00DF6374"/>
    <w:rsid w:val="00DF7632"/>
    <w:rsid w:val="00E003BC"/>
    <w:rsid w:val="00E02037"/>
    <w:rsid w:val="00E034CE"/>
    <w:rsid w:val="00E03665"/>
    <w:rsid w:val="00E04563"/>
    <w:rsid w:val="00E0547C"/>
    <w:rsid w:val="00E0672B"/>
    <w:rsid w:val="00E10F57"/>
    <w:rsid w:val="00E11C8A"/>
    <w:rsid w:val="00E12861"/>
    <w:rsid w:val="00E12B6A"/>
    <w:rsid w:val="00E12DD5"/>
    <w:rsid w:val="00E12F27"/>
    <w:rsid w:val="00E151A8"/>
    <w:rsid w:val="00E1560C"/>
    <w:rsid w:val="00E15E8A"/>
    <w:rsid w:val="00E17939"/>
    <w:rsid w:val="00E20DB0"/>
    <w:rsid w:val="00E21DB4"/>
    <w:rsid w:val="00E223F7"/>
    <w:rsid w:val="00E22725"/>
    <w:rsid w:val="00E2309B"/>
    <w:rsid w:val="00E23B7D"/>
    <w:rsid w:val="00E23EF8"/>
    <w:rsid w:val="00E25E1C"/>
    <w:rsid w:val="00E277E9"/>
    <w:rsid w:val="00E27E46"/>
    <w:rsid w:val="00E30183"/>
    <w:rsid w:val="00E32C5F"/>
    <w:rsid w:val="00E3485A"/>
    <w:rsid w:val="00E3501D"/>
    <w:rsid w:val="00E35C2B"/>
    <w:rsid w:val="00E35EF5"/>
    <w:rsid w:val="00E376F4"/>
    <w:rsid w:val="00E37BDE"/>
    <w:rsid w:val="00E37F87"/>
    <w:rsid w:val="00E43773"/>
    <w:rsid w:val="00E439C4"/>
    <w:rsid w:val="00E44118"/>
    <w:rsid w:val="00E44C49"/>
    <w:rsid w:val="00E45407"/>
    <w:rsid w:val="00E46CCF"/>
    <w:rsid w:val="00E47A56"/>
    <w:rsid w:val="00E503F3"/>
    <w:rsid w:val="00E50602"/>
    <w:rsid w:val="00E519EA"/>
    <w:rsid w:val="00E52284"/>
    <w:rsid w:val="00E5256D"/>
    <w:rsid w:val="00E52CC7"/>
    <w:rsid w:val="00E60BFC"/>
    <w:rsid w:val="00E60F1D"/>
    <w:rsid w:val="00E61300"/>
    <w:rsid w:val="00E619A1"/>
    <w:rsid w:val="00E62B89"/>
    <w:rsid w:val="00E62DDB"/>
    <w:rsid w:val="00E62FF5"/>
    <w:rsid w:val="00E6384F"/>
    <w:rsid w:val="00E64692"/>
    <w:rsid w:val="00E66B8D"/>
    <w:rsid w:val="00E67862"/>
    <w:rsid w:val="00E67BB0"/>
    <w:rsid w:val="00E67BED"/>
    <w:rsid w:val="00E67DA4"/>
    <w:rsid w:val="00E700FE"/>
    <w:rsid w:val="00E70E0D"/>
    <w:rsid w:val="00E71C97"/>
    <w:rsid w:val="00E71CB9"/>
    <w:rsid w:val="00E71F86"/>
    <w:rsid w:val="00E72647"/>
    <w:rsid w:val="00E72E8E"/>
    <w:rsid w:val="00E73FA3"/>
    <w:rsid w:val="00E7579E"/>
    <w:rsid w:val="00E75890"/>
    <w:rsid w:val="00E75CA4"/>
    <w:rsid w:val="00E75DB7"/>
    <w:rsid w:val="00E76D28"/>
    <w:rsid w:val="00E77C7A"/>
    <w:rsid w:val="00E77E94"/>
    <w:rsid w:val="00E800ED"/>
    <w:rsid w:val="00E80175"/>
    <w:rsid w:val="00E80595"/>
    <w:rsid w:val="00E82566"/>
    <w:rsid w:val="00E82880"/>
    <w:rsid w:val="00E82E56"/>
    <w:rsid w:val="00E8413F"/>
    <w:rsid w:val="00E84A91"/>
    <w:rsid w:val="00E84D91"/>
    <w:rsid w:val="00E85B09"/>
    <w:rsid w:val="00E86BE2"/>
    <w:rsid w:val="00E86E5E"/>
    <w:rsid w:val="00E90797"/>
    <w:rsid w:val="00E918B2"/>
    <w:rsid w:val="00E91B4E"/>
    <w:rsid w:val="00E9284D"/>
    <w:rsid w:val="00E97521"/>
    <w:rsid w:val="00E979EC"/>
    <w:rsid w:val="00E97D3D"/>
    <w:rsid w:val="00E97EDE"/>
    <w:rsid w:val="00EA0819"/>
    <w:rsid w:val="00EA0DF9"/>
    <w:rsid w:val="00EA3B09"/>
    <w:rsid w:val="00EA3C6A"/>
    <w:rsid w:val="00EA4097"/>
    <w:rsid w:val="00EA4620"/>
    <w:rsid w:val="00EA4B55"/>
    <w:rsid w:val="00EA5725"/>
    <w:rsid w:val="00EA75B7"/>
    <w:rsid w:val="00EB026A"/>
    <w:rsid w:val="00EB0D4F"/>
    <w:rsid w:val="00EB1B3F"/>
    <w:rsid w:val="00EB29B1"/>
    <w:rsid w:val="00EB2DD8"/>
    <w:rsid w:val="00EB2EE5"/>
    <w:rsid w:val="00EB2F0E"/>
    <w:rsid w:val="00EB3051"/>
    <w:rsid w:val="00EB3530"/>
    <w:rsid w:val="00EB3A75"/>
    <w:rsid w:val="00EB46D8"/>
    <w:rsid w:val="00EB48D9"/>
    <w:rsid w:val="00EB558B"/>
    <w:rsid w:val="00EB6648"/>
    <w:rsid w:val="00EB7296"/>
    <w:rsid w:val="00EC02A2"/>
    <w:rsid w:val="00EC044B"/>
    <w:rsid w:val="00EC0A28"/>
    <w:rsid w:val="00EC0BFD"/>
    <w:rsid w:val="00EC0DDE"/>
    <w:rsid w:val="00EC171E"/>
    <w:rsid w:val="00EC1AEC"/>
    <w:rsid w:val="00EC2BA8"/>
    <w:rsid w:val="00EC2E2A"/>
    <w:rsid w:val="00EC4CBE"/>
    <w:rsid w:val="00EC4F47"/>
    <w:rsid w:val="00EC521C"/>
    <w:rsid w:val="00EC57A1"/>
    <w:rsid w:val="00EC67D5"/>
    <w:rsid w:val="00EC6D01"/>
    <w:rsid w:val="00EC70CD"/>
    <w:rsid w:val="00EC7DEE"/>
    <w:rsid w:val="00ED02C4"/>
    <w:rsid w:val="00ED1600"/>
    <w:rsid w:val="00ED1C07"/>
    <w:rsid w:val="00ED1E28"/>
    <w:rsid w:val="00ED21BD"/>
    <w:rsid w:val="00ED290C"/>
    <w:rsid w:val="00ED329C"/>
    <w:rsid w:val="00ED4C3A"/>
    <w:rsid w:val="00ED53F5"/>
    <w:rsid w:val="00ED54E0"/>
    <w:rsid w:val="00ED68BE"/>
    <w:rsid w:val="00EE06C6"/>
    <w:rsid w:val="00EE39BA"/>
    <w:rsid w:val="00EE44C2"/>
    <w:rsid w:val="00EE525B"/>
    <w:rsid w:val="00EE5797"/>
    <w:rsid w:val="00EE6E44"/>
    <w:rsid w:val="00EE755F"/>
    <w:rsid w:val="00EE7C55"/>
    <w:rsid w:val="00EE7EEA"/>
    <w:rsid w:val="00EF0AF1"/>
    <w:rsid w:val="00EF0B31"/>
    <w:rsid w:val="00EF104E"/>
    <w:rsid w:val="00EF1A7F"/>
    <w:rsid w:val="00EF3A8D"/>
    <w:rsid w:val="00EF3C0C"/>
    <w:rsid w:val="00EF3FFC"/>
    <w:rsid w:val="00EF4424"/>
    <w:rsid w:val="00EF653A"/>
    <w:rsid w:val="00EF6FDB"/>
    <w:rsid w:val="00EF76A2"/>
    <w:rsid w:val="00EF7D89"/>
    <w:rsid w:val="00F01F78"/>
    <w:rsid w:val="00F02A8B"/>
    <w:rsid w:val="00F031EC"/>
    <w:rsid w:val="00F03482"/>
    <w:rsid w:val="00F04590"/>
    <w:rsid w:val="00F06699"/>
    <w:rsid w:val="00F06908"/>
    <w:rsid w:val="00F06E6F"/>
    <w:rsid w:val="00F07017"/>
    <w:rsid w:val="00F0711A"/>
    <w:rsid w:val="00F0762C"/>
    <w:rsid w:val="00F07779"/>
    <w:rsid w:val="00F07A99"/>
    <w:rsid w:val="00F07B9C"/>
    <w:rsid w:val="00F07EFD"/>
    <w:rsid w:val="00F10F55"/>
    <w:rsid w:val="00F11581"/>
    <w:rsid w:val="00F11B51"/>
    <w:rsid w:val="00F127BF"/>
    <w:rsid w:val="00F1302A"/>
    <w:rsid w:val="00F13270"/>
    <w:rsid w:val="00F13676"/>
    <w:rsid w:val="00F140C1"/>
    <w:rsid w:val="00F14F5D"/>
    <w:rsid w:val="00F162D7"/>
    <w:rsid w:val="00F22EC0"/>
    <w:rsid w:val="00F256A6"/>
    <w:rsid w:val="00F25B3B"/>
    <w:rsid w:val="00F25F94"/>
    <w:rsid w:val="00F26FC9"/>
    <w:rsid w:val="00F278A0"/>
    <w:rsid w:val="00F30510"/>
    <w:rsid w:val="00F31E19"/>
    <w:rsid w:val="00F32A69"/>
    <w:rsid w:val="00F32BE9"/>
    <w:rsid w:val="00F330E5"/>
    <w:rsid w:val="00F348B3"/>
    <w:rsid w:val="00F34C98"/>
    <w:rsid w:val="00F353B8"/>
    <w:rsid w:val="00F35D3C"/>
    <w:rsid w:val="00F36618"/>
    <w:rsid w:val="00F36C30"/>
    <w:rsid w:val="00F3713C"/>
    <w:rsid w:val="00F3742A"/>
    <w:rsid w:val="00F42A37"/>
    <w:rsid w:val="00F42E15"/>
    <w:rsid w:val="00F43917"/>
    <w:rsid w:val="00F43BE8"/>
    <w:rsid w:val="00F43FDC"/>
    <w:rsid w:val="00F440A0"/>
    <w:rsid w:val="00F44253"/>
    <w:rsid w:val="00F448EA"/>
    <w:rsid w:val="00F44B0C"/>
    <w:rsid w:val="00F44F7A"/>
    <w:rsid w:val="00F4568B"/>
    <w:rsid w:val="00F460B6"/>
    <w:rsid w:val="00F4612B"/>
    <w:rsid w:val="00F50FEB"/>
    <w:rsid w:val="00F51178"/>
    <w:rsid w:val="00F52291"/>
    <w:rsid w:val="00F5235A"/>
    <w:rsid w:val="00F54BF0"/>
    <w:rsid w:val="00F54BF9"/>
    <w:rsid w:val="00F56016"/>
    <w:rsid w:val="00F56299"/>
    <w:rsid w:val="00F56869"/>
    <w:rsid w:val="00F60478"/>
    <w:rsid w:val="00F605DD"/>
    <w:rsid w:val="00F608AC"/>
    <w:rsid w:val="00F6174E"/>
    <w:rsid w:val="00F61B04"/>
    <w:rsid w:val="00F61F01"/>
    <w:rsid w:val="00F62261"/>
    <w:rsid w:val="00F62BD6"/>
    <w:rsid w:val="00F6441E"/>
    <w:rsid w:val="00F64F08"/>
    <w:rsid w:val="00F66832"/>
    <w:rsid w:val="00F66F9E"/>
    <w:rsid w:val="00F67942"/>
    <w:rsid w:val="00F67BD1"/>
    <w:rsid w:val="00F7056D"/>
    <w:rsid w:val="00F708CC"/>
    <w:rsid w:val="00F70D09"/>
    <w:rsid w:val="00F71A58"/>
    <w:rsid w:val="00F71B18"/>
    <w:rsid w:val="00F72E7D"/>
    <w:rsid w:val="00F747E8"/>
    <w:rsid w:val="00F74DD5"/>
    <w:rsid w:val="00F75207"/>
    <w:rsid w:val="00F75768"/>
    <w:rsid w:val="00F76045"/>
    <w:rsid w:val="00F7680B"/>
    <w:rsid w:val="00F80D7F"/>
    <w:rsid w:val="00F84A1F"/>
    <w:rsid w:val="00F85140"/>
    <w:rsid w:val="00F8527C"/>
    <w:rsid w:val="00F855C8"/>
    <w:rsid w:val="00F85F9C"/>
    <w:rsid w:val="00F8746C"/>
    <w:rsid w:val="00F90A5A"/>
    <w:rsid w:val="00F90CA0"/>
    <w:rsid w:val="00F9119F"/>
    <w:rsid w:val="00F9145E"/>
    <w:rsid w:val="00F933DA"/>
    <w:rsid w:val="00F93A27"/>
    <w:rsid w:val="00F93AC7"/>
    <w:rsid w:val="00F94596"/>
    <w:rsid w:val="00F94A25"/>
    <w:rsid w:val="00F95915"/>
    <w:rsid w:val="00F95C98"/>
    <w:rsid w:val="00F95D2C"/>
    <w:rsid w:val="00F97DDD"/>
    <w:rsid w:val="00F97EFB"/>
    <w:rsid w:val="00FA1EE1"/>
    <w:rsid w:val="00FA217F"/>
    <w:rsid w:val="00FA3C02"/>
    <w:rsid w:val="00FA4138"/>
    <w:rsid w:val="00FA63D4"/>
    <w:rsid w:val="00FB036F"/>
    <w:rsid w:val="00FB05B4"/>
    <w:rsid w:val="00FB083F"/>
    <w:rsid w:val="00FB0B03"/>
    <w:rsid w:val="00FB0D20"/>
    <w:rsid w:val="00FB1DB3"/>
    <w:rsid w:val="00FB1EB4"/>
    <w:rsid w:val="00FB269B"/>
    <w:rsid w:val="00FB27C2"/>
    <w:rsid w:val="00FB3E13"/>
    <w:rsid w:val="00FB4C37"/>
    <w:rsid w:val="00FB4C3B"/>
    <w:rsid w:val="00FB6C4E"/>
    <w:rsid w:val="00FC0010"/>
    <w:rsid w:val="00FC26DC"/>
    <w:rsid w:val="00FC29CE"/>
    <w:rsid w:val="00FC2C5D"/>
    <w:rsid w:val="00FC37FA"/>
    <w:rsid w:val="00FC3963"/>
    <w:rsid w:val="00FC47F3"/>
    <w:rsid w:val="00FC72C4"/>
    <w:rsid w:val="00FD0E21"/>
    <w:rsid w:val="00FD1593"/>
    <w:rsid w:val="00FD1B25"/>
    <w:rsid w:val="00FD1E4D"/>
    <w:rsid w:val="00FD3035"/>
    <w:rsid w:val="00FD4840"/>
    <w:rsid w:val="00FD5974"/>
    <w:rsid w:val="00FD71B2"/>
    <w:rsid w:val="00FD7AF6"/>
    <w:rsid w:val="00FD7E68"/>
    <w:rsid w:val="00FE0937"/>
    <w:rsid w:val="00FE0CE5"/>
    <w:rsid w:val="00FE11B5"/>
    <w:rsid w:val="00FE228C"/>
    <w:rsid w:val="00FE23CF"/>
    <w:rsid w:val="00FE4677"/>
    <w:rsid w:val="00FE52F2"/>
    <w:rsid w:val="00FE6FC1"/>
    <w:rsid w:val="00FE7071"/>
    <w:rsid w:val="00FE718B"/>
    <w:rsid w:val="00FF0862"/>
    <w:rsid w:val="00FF1B00"/>
    <w:rsid w:val="00FF38CD"/>
    <w:rsid w:val="00FF5ADE"/>
    <w:rsid w:val="00FF60F4"/>
    <w:rsid w:val="00FF66CD"/>
    <w:rsid w:val="00FF70F7"/>
    <w:rsid w:val="00FF710B"/>
    <w:rsid w:val="00FF71AF"/>
    <w:rsid w:val="00FF7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544C2AD-3580-4153-BD4F-D5C33DAE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A6"/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rsid w:val="00EE39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E39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35088F"/>
    <w:pPr>
      <w:keepNext/>
      <w:jc w:val="center"/>
      <w:outlineLvl w:val="7"/>
    </w:pPr>
    <w:rPr>
      <w:b/>
      <w:color w:val="FF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394DA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394DA6"/>
    <w:rPr>
      <w:rFonts w:ascii="Courier New" w:hAnsi="Courier New" w:cs="Courier New"/>
    </w:rPr>
  </w:style>
  <w:style w:type="character" w:customStyle="1" w:styleId="WW8Num3z2">
    <w:name w:val="WW8Num3z2"/>
    <w:rsid w:val="00394DA6"/>
    <w:rPr>
      <w:rFonts w:ascii="Wingdings" w:hAnsi="Wingdings" w:cs="Times New Roman"/>
    </w:rPr>
  </w:style>
  <w:style w:type="character" w:customStyle="1" w:styleId="WW8Num3z3">
    <w:name w:val="WW8Num3z3"/>
    <w:rsid w:val="00394DA6"/>
    <w:rPr>
      <w:rFonts w:ascii="Symbol" w:hAnsi="Symbol" w:cs="Times New Roman"/>
    </w:rPr>
  </w:style>
  <w:style w:type="character" w:customStyle="1" w:styleId="WW8Num4z1">
    <w:name w:val="WW8Num4z1"/>
    <w:rsid w:val="00394DA6"/>
    <w:rPr>
      <w:rFonts w:ascii="Courier New" w:hAnsi="Courier New" w:cs="Courier New"/>
    </w:rPr>
  </w:style>
  <w:style w:type="character" w:customStyle="1" w:styleId="WW8Num4z2">
    <w:name w:val="WW8Num4z2"/>
    <w:rsid w:val="00394DA6"/>
    <w:rPr>
      <w:rFonts w:ascii="Wingdings" w:hAnsi="Wingdings" w:cs="Times New Roman"/>
    </w:rPr>
  </w:style>
  <w:style w:type="character" w:customStyle="1" w:styleId="WW8Num4z3">
    <w:name w:val="WW8Num4z3"/>
    <w:rsid w:val="00394DA6"/>
    <w:rPr>
      <w:rFonts w:ascii="Symbol" w:hAnsi="Symbol" w:cs="Times New Roman"/>
    </w:rPr>
  </w:style>
  <w:style w:type="character" w:customStyle="1" w:styleId="WW8Num5z0">
    <w:name w:val="WW8Num5z0"/>
    <w:rsid w:val="00394DA6"/>
    <w:rPr>
      <w:rFonts w:ascii="Symbol" w:hAnsi="Symbol"/>
    </w:rPr>
  </w:style>
  <w:style w:type="character" w:customStyle="1" w:styleId="WW8Num5z1">
    <w:name w:val="WW8Num5z1"/>
    <w:rsid w:val="00394DA6"/>
    <w:rPr>
      <w:rFonts w:ascii="Courier New" w:hAnsi="Courier New"/>
    </w:rPr>
  </w:style>
  <w:style w:type="character" w:customStyle="1" w:styleId="WW8Num5z2">
    <w:name w:val="WW8Num5z2"/>
    <w:rsid w:val="00394DA6"/>
    <w:rPr>
      <w:rFonts w:ascii="Wingdings" w:hAnsi="Wingdings"/>
    </w:rPr>
  </w:style>
  <w:style w:type="character" w:customStyle="1" w:styleId="WW8Num6z0">
    <w:name w:val="WW8Num6z0"/>
    <w:rsid w:val="00394DA6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394DA6"/>
    <w:rPr>
      <w:rFonts w:ascii="Courier New" w:hAnsi="Courier New" w:cs="Courier New"/>
    </w:rPr>
  </w:style>
  <w:style w:type="character" w:customStyle="1" w:styleId="WW8Num6z2">
    <w:name w:val="WW8Num6z2"/>
    <w:rsid w:val="00394DA6"/>
    <w:rPr>
      <w:rFonts w:ascii="Wingdings" w:hAnsi="Wingdings"/>
    </w:rPr>
  </w:style>
  <w:style w:type="character" w:customStyle="1" w:styleId="WW8Num6z3">
    <w:name w:val="WW8Num6z3"/>
    <w:rsid w:val="00394DA6"/>
    <w:rPr>
      <w:rFonts w:ascii="Symbol" w:hAnsi="Symbol"/>
    </w:rPr>
  </w:style>
  <w:style w:type="character" w:customStyle="1" w:styleId="WW8Num7z0">
    <w:name w:val="WW8Num7z0"/>
    <w:rsid w:val="00394DA6"/>
    <w:rPr>
      <w:rFonts w:ascii="Symbol" w:hAnsi="Symbol"/>
    </w:rPr>
  </w:style>
  <w:style w:type="character" w:customStyle="1" w:styleId="WW8Num7z1">
    <w:name w:val="WW8Num7z1"/>
    <w:rsid w:val="00394DA6"/>
    <w:rPr>
      <w:rFonts w:ascii="Courier New" w:hAnsi="Courier New" w:cs="Courier New"/>
    </w:rPr>
  </w:style>
  <w:style w:type="character" w:customStyle="1" w:styleId="WW8Num7z2">
    <w:name w:val="WW8Num7z2"/>
    <w:rsid w:val="00394DA6"/>
    <w:rPr>
      <w:rFonts w:ascii="Wingdings" w:hAnsi="Wingdings"/>
    </w:rPr>
  </w:style>
  <w:style w:type="character" w:customStyle="1" w:styleId="WW8Num8z0">
    <w:name w:val="WW8Num8z0"/>
    <w:rsid w:val="00394DA6"/>
    <w:rPr>
      <w:rFonts w:ascii="Times New Roman" w:eastAsia="Times New Roman" w:hAnsi="Times New Roman"/>
    </w:rPr>
  </w:style>
  <w:style w:type="character" w:customStyle="1" w:styleId="WW8Num8z1">
    <w:name w:val="WW8Num8z1"/>
    <w:rsid w:val="00394DA6"/>
    <w:rPr>
      <w:rFonts w:ascii="Courier New" w:hAnsi="Courier New" w:cs="Courier New"/>
    </w:rPr>
  </w:style>
  <w:style w:type="character" w:customStyle="1" w:styleId="WW8Num8z2">
    <w:name w:val="WW8Num8z2"/>
    <w:rsid w:val="00394DA6"/>
    <w:rPr>
      <w:rFonts w:ascii="Wingdings" w:hAnsi="Wingdings" w:cs="Wingdings"/>
    </w:rPr>
  </w:style>
  <w:style w:type="character" w:customStyle="1" w:styleId="WW8Num8z3">
    <w:name w:val="WW8Num8z3"/>
    <w:rsid w:val="00394DA6"/>
    <w:rPr>
      <w:rFonts w:ascii="Symbol" w:hAnsi="Symbol" w:cs="Symbol"/>
    </w:rPr>
  </w:style>
  <w:style w:type="character" w:customStyle="1" w:styleId="WW8Num9z0">
    <w:name w:val="WW8Num9z0"/>
    <w:rsid w:val="00394DA6"/>
    <w:rPr>
      <w:rFonts w:ascii="Symbol" w:hAnsi="Symbol"/>
    </w:rPr>
  </w:style>
  <w:style w:type="character" w:customStyle="1" w:styleId="WW8Num9z1">
    <w:name w:val="WW8Num9z1"/>
    <w:rsid w:val="00394DA6"/>
    <w:rPr>
      <w:rFonts w:ascii="Courier New" w:hAnsi="Courier New"/>
    </w:rPr>
  </w:style>
  <w:style w:type="character" w:customStyle="1" w:styleId="WW8Num9z2">
    <w:name w:val="WW8Num9z2"/>
    <w:rsid w:val="00394DA6"/>
    <w:rPr>
      <w:rFonts w:ascii="Wingdings" w:hAnsi="Wingdings"/>
    </w:rPr>
  </w:style>
  <w:style w:type="character" w:customStyle="1" w:styleId="WW8Num10z0">
    <w:name w:val="WW8Num10z0"/>
    <w:rsid w:val="00394DA6"/>
    <w:rPr>
      <w:rFonts w:ascii="Symbol" w:hAnsi="Symbol"/>
    </w:rPr>
  </w:style>
  <w:style w:type="character" w:customStyle="1" w:styleId="WW8Num10z1">
    <w:name w:val="WW8Num10z1"/>
    <w:rsid w:val="00394DA6"/>
    <w:rPr>
      <w:rFonts w:ascii="Courier New" w:hAnsi="Courier New" w:cs="Courier New"/>
    </w:rPr>
  </w:style>
  <w:style w:type="character" w:customStyle="1" w:styleId="WW8Num10z2">
    <w:name w:val="WW8Num10z2"/>
    <w:rsid w:val="00394DA6"/>
    <w:rPr>
      <w:rFonts w:ascii="Wingdings" w:hAnsi="Wingdings"/>
    </w:rPr>
  </w:style>
  <w:style w:type="character" w:customStyle="1" w:styleId="WW8Num11z0">
    <w:name w:val="WW8Num11z0"/>
    <w:rsid w:val="00394DA6"/>
    <w:rPr>
      <w:rFonts w:ascii="Symbol" w:hAnsi="Symbol"/>
    </w:rPr>
  </w:style>
  <w:style w:type="character" w:customStyle="1" w:styleId="WW8Num11z1">
    <w:name w:val="WW8Num11z1"/>
    <w:rsid w:val="00394DA6"/>
    <w:rPr>
      <w:rFonts w:ascii="Courier New" w:hAnsi="Courier New" w:cs="Courier New"/>
    </w:rPr>
  </w:style>
  <w:style w:type="character" w:customStyle="1" w:styleId="WW8Num11z2">
    <w:name w:val="WW8Num11z2"/>
    <w:rsid w:val="00394DA6"/>
    <w:rPr>
      <w:rFonts w:ascii="Wingdings" w:hAnsi="Wingdings"/>
    </w:rPr>
  </w:style>
  <w:style w:type="character" w:customStyle="1" w:styleId="WW8Num12z1">
    <w:name w:val="WW8Num12z1"/>
    <w:rsid w:val="00394DA6"/>
    <w:rPr>
      <w:rFonts w:ascii="Courier New" w:hAnsi="Courier New" w:cs="Courier New"/>
    </w:rPr>
  </w:style>
  <w:style w:type="character" w:customStyle="1" w:styleId="WW8Num12z2">
    <w:name w:val="WW8Num12z2"/>
    <w:rsid w:val="00394DA6"/>
    <w:rPr>
      <w:rFonts w:ascii="Wingdings" w:hAnsi="Wingdings" w:cs="Times New Roman"/>
    </w:rPr>
  </w:style>
  <w:style w:type="character" w:customStyle="1" w:styleId="WW8Num12z3">
    <w:name w:val="WW8Num12z3"/>
    <w:rsid w:val="00394DA6"/>
    <w:rPr>
      <w:rFonts w:ascii="Symbol" w:hAnsi="Symbol" w:cs="Times New Roman"/>
    </w:rPr>
  </w:style>
  <w:style w:type="character" w:customStyle="1" w:styleId="WW8Num13z0">
    <w:name w:val="WW8Num13z0"/>
    <w:rsid w:val="00394DA6"/>
    <w:rPr>
      <w:rFonts w:ascii="Symbol" w:hAnsi="Symbol"/>
    </w:rPr>
  </w:style>
  <w:style w:type="character" w:customStyle="1" w:styleId="WW8Num13z1">
    <w:name w:val="WW8Num13z1"/>
    <w:rsid w:val="00394DA6"/>
    <w:rPr>
      <w:rFonts w:ascii="Courier New" w:hAnsi="Courier New" w:cs="Courier New"/>
    </w:rPr>
  </w:style>
  <w:style w:type="character" w:customStyle="1" w:styleId="WW8Num13z2">
    <w:name w:val="WW8Num13z2"/>
    <w:rsid w:val="00394DA6"/>
    <w:rPr>
      <w:rFonts w:ascii="Wingdings" w:hAnsi="Wingdings"/>
    </w:rPr>
  </w:style>
  <w:style w:type="character" w:customStyle="1" w:styleId="WW8Num14z0">
    <w:name w:val="WW8Num14z0"/>
    <w:rsid w:val="00394DA6"/>
    <w:rPr>
      <w:rFonts w:ascii="Symbol" w:hAnsi="Symbol"/>
    </w:rPr>
  </w:style>
  <w:style w:type="character" w:customStyle="1" w:styleId="WW8Num14z1">
    <w:name w:val="WW8Num14z1"/>
    <w:rsid w:val="00394DA6"/>
    <w:rPr>
      <w:rFonts w:ascii="Courier New" w:hAnsi="Courier New" w:cs="Courier New"/>
    </w:rPr>
  </w:style>
  <w:style w:type="character" w:customStyle="1" w:styleId="WW8Num14z2">
    <w:name w:val="WW8Num14z2"/>
    <w:rsid w:val="00394DA6"/>
    <w:rPr>
      <w:rFonts w:ascii="Wingdings" w:hAnsi="Wingdings"/>
    </w:rPr>
  </w:style>
  <w:style w:type="character" w:customStyle="1" w:styleId="WW8Num15z0">
    <w:name w:val="WW8Num15z0"/>
    <w:rsid w:val="00394DA6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394DA6"/>
    <w:rPr>
      <w:rFonts w:ascii="Courier New" w:hAnsi="Courier New" w:cs="Courier New"/>
    </w:rPr>
  </w:style>
  <w:style w:type="character" w:customStyle="1" w:styleId="WW8Num15z2">
    <w:name w:val="WW8Num15z2"/>
    <w:rsid w:val="00394DA6"/>
    <w:rPr>
      <w:rFonts w:ascii="Wingdings" w:hAnsi="Wingdings"/>
    </w:rPr>
  </w:style>
  <w:style w:type="character" w:customStyle="1" w:styleId="WW8Num15z3">
    <w:name w:val="WW8Num15z3"/>
    <w:rsid w:val="00394DA6"/>
    <w:rPr>
      <w:rFonts w:ascii="Symbol" w:hAnsi="Symbol"/>
    </w:rPr>
  </w:style>
  <w:style w:type="character" w:customStyle="1" w:styleId="WW8Num16z0">
    <w:name w:val="WW8Num16z0"/>
    <w:rsid w:val="00394DA6"/>
    <w:rPr>
      <w:rFonts w:ascii="Symbol" w:hAnsi="Symbol"/>
    </w:rPr>
  </w:style>
  <w:style w:type="character" w:customStyle="1" w:styleId="WW8Num16z1">
    <w:name w:val="WW8Num16z1"/>
    <w:rsid w:val="00394DA6"/>
    <w:rPr>
      <w:rFonts w:ascii="Courier New" w:hAnsi="Courier New" w:cs="Courier New"/>
    </w:rPr>
  </w:style>
  <w:style w:type="character" w:customStyle="1" w:styleId="WW8Num16z2">
    <w:name w:val="WW8Num16z2"/>
    <w:rsid w:val="00394DA6"/>
    <w:rPr>
      <w:rFonts w:ascii="Wingdings" w:hAnsi="Wingdings"/>
    </w:rPr>
  </w:style>
  <w:style w:type="character" w:customStyle="1" w:styleId="WW8Num17z0">
    <w:name w:val="WW8Num17z0"/>
    <w:rsid w:val="00394DA6"/>
    <w:rPr>
      <w:rFonts w:ascii="Symbol" w:hAnsi="Symbol"/>
    </w:rPr>
  </w:style>
  <w:style w:type="character" w:customStyle="1" w:styleId="WW8Num17z1">
    <w:name w:val="WW8Num17z1"/>
    <w:rsid w:val="00394DA6"/>
    <w:rPr>
      <w:rFonts w:ascii="Courier New" w:hAnsi="Courier New" w:cs="Courier New"/>
    </w:rPr>
  </w:style>
  <w:style w:type="character" w:customStyle="1" w:styleId="WW8Num17z2">
    <w:name w:val="WW8Num17z2"/>
    <w:rsid w:val="00394DA6"/>
    <w:rPr>
      <w:rFonts w:ascii="Wingdings" w:hAnsi="Wingdings"/>
    </w:rPr>
  </w:style>
  <w:style w:type="character" w:customStyle="1" w:styleId="WW8Num18z0">
    <w:name w:val="WW8Num18z0"/>
    <w:rsid w:val="00394DA6"/>
    <w:rPr>
      <w:rFonts w:ascii="Symbol" w:hAnsi="Symbol"/>
    </w:rPr>
  </w:style>
  <w:style w:type="character" w:customStyle="1" w:styleId="WW8Num18z1">
    <w:name w:val="WW8Num18z1"/>
    <w:rsid w:val="00394DA6"/>
    <w:rPr>
      <w:rFonts w:ascii="Courier New" w:hAnsi="Courier New" w:cs="Courier New"/>
    </w:rPr>
  </w:style>
  <w:style w:type="character" w:customStyle="1" w:styleId="WW8Num18z2">
    <w:name w:val="WW8Num18z2"/>
    <w:rsid w:val="00394DA6"/>
    <w:rPr>
      <w:rFonts w:ascii="Wingdings" w:hAnsi="Wingdings"/>
    </w:rPr>
  </w:style>
  <w:style w:type="character" w:customStyle="1" w:styleId="WW8Num19z0">
    <w:name w:val="WW8Num19z0"/>
    <w:rsid w:val="00394DA6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394DA6"/>
    <w:rPr>
      <w:rFonts w:ascii="Courier New" w:hAnsi="Courier New" w:cs="Courier New"/>
    </w:rPr>
  </w:style>
  <w:style w:type="character" w:customStyle="1" w:styleId="WW8Num19z2">
    <w:name w:val="WW8Num19z2"/>
    <w:rsid w:val="00394DA6"/>
    <w:rPr>
      <w:rFonts w:ascii="Wingdings" w:hAnsi="Wingdings"/>
    </w:rPr>
  </w:style>
  <w:style w:type="character" w:customStyle="1" w:styleId="WW8Num19z3">
    <w:name w:val="WW8Num19z3"/>
    <w:rsid w:val="00394DA6"/>
    <w:rPr>
      <w:rFonts w:ascii="Symbol" w:hAnsi="Symbol"/>
    </w:rPr>
  </w:style>
  <w:style w:type="character" w:customStyle="1" w:styleId="10">
    <w:name w:val="Основной шрифт абзаца1"/>
    <w:rsid w:val="00394DA6"/>
  </w:style>
  <w:style w:type="character" w:styleId="a3">
    <w:name w:val="Hyperlink"/>
    <w:rsid w:val="00394DA6"/>
    <w:rPr>
      <w:color w:val="0000FF"/>
      <w:u w:val="single"/>
    </w:rPr>
  </w:style>
  <w:style w:type="character" w:styleId="a4">
    <w:name w:val="Strong"/>
    <w:qFormat/>
    <w:rsid w:val="00394DA6"/>
    <w:rPr>
      <w:b/>
      <w:bCs/>
    </w:rPr>
  </w:style>
  <w:style w:type="character" w:customStyle="1" w:styleId="3">
    <w:name w:val="Знак Знак3"/>
    <w:rsid w:val="00394DA6"/>
    <w:rPr>
      <w:sz w:val="16"/>
      <w:szCs w:val="16"/>
      <w:lang w:val="uk-UA" w:eastAsia="ar-SA" w:bidi="ar-SA"/>
    </w:rPr>
  </w:style>
  <w:style w:type="character" w:styleId="a5">
    <w:name w:val="page number"/>
    <w:basedOn w:val="10"/>
    <w:rsid w:val="00394DA6"/>
  </w:style>
  <w:style w:type="paragraph" w:customStyle="1" w:styleId="a6">
    <w:name w:val="Заголовок"/>
    <w:basedOn w:val="a"/>
    <w:next w:val="a7"/>
    <w:rsid w:val="00394DA6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a7">
    <w:name w:val="Body Text"/>
    <w:basedOn w:val="a"/>
    <w:link w:val="a8"/>
    <w:rsid w:val="00394DA6"/>
    <w:pPr>
      <w:jc w:val="both"/>
    </w:pPr>
    <w:rPr>
      <w:b/>
      <w:sz w:val="28"/>
    </w:rPr>
  </w:style>
  <w:style w:type="paragraph" w:styleId="a9">
    <w:name w:val="List"/>
    <w:basedOn w:val="a7"/>
    <w:rsid w:val="00394DA6"/>
    <w:rPr>
      <w:rFonts w:cs="Tahoma"/>
    </w:rPr>
  </w:style>
  <w:style w:type="paragraph" w:customStyle="1" w:styleId="11">
    <w:name w:val="Назва1"/>
    <w:basedOn w:val="a"/>
    <w:rsid w:val="00394DA6"/>
    <w:pPr>
      <w:suppressLineNumbers/>
      <w:spacing w:before="120" w:after="120"/>
    </w:pPr>
    <w:rPr>
      <w:rFonts w:cs="Tahoma"/>
      <w:i/>
      <w:iCs/>
    </w:rPr>
  </w:style>
  <w:style w:type="paragraph" w:customStyle="1" w:styleId="aa">
    <w:name w:val="Покажчик"/>
    <w:basedOn w:val="a"/>
    <w:rsid w:val="00394DA6"/>
    <w:pPr>
      <w:suppressLineNumbers/>
    </w:pPr>
    <w:rPr>
      <w:rFonts w:cs="Tahoma"/>
    </w:rPr>
  </w:style>
  <w:style w:type="paragraph" w:styleId="ab">
    <w:name w:val="Body Text Indent"/>
    <w:basedOn w:val="a"/>
    <w:link w:val="ac"/>
    <w:rsid w:val="00394DA6"/>
    <w:pPr>
      <w:ind w:firstLine="720"/>
      <w:jc w:val="both"/>
    </w:pPr>
    <w:rPr>
      <w:sz w:val="28"/>
      <w:szCs w:val="28"/>
    </w:rPr>
  </w:style>
  <w:style w:type="paragraph" w:customStyle="1" w:styleId="22">
    <w:name w:val="Основной текст с отступом 22"/>
    <w:basedOn w:val="a"/>
    <w:rsid w:val="00394DA6"/>
    <w:pPr>
      <w:ind w:firstLine="700"/>
      <w:jc w:val="both"/>
    </w:pPr>
    <w:rPr>
      <w:sz w:val="28"/>
    </w:rPr>
  </w:style>
  <w:style w:type="paragraph" w:customStyle="1" w:styleId="21">
    <w:name w:val="Основной текст 21"/>
    <w:basedOn w:val="a"/>
    <w:rsid w:val="00394DA6"/>
    <w:pPr>
      <w:spacing w:after="120" w:line="480" w:lineRule="auto"/>
    </w:pPr>
  </w:style>
  <w:style w:type="paragraph" w:customStyle="1" w:styleId="32">
    <w:name w:val="Основной текст 32"/>
    <w:basedOn w:val="a"/>
    <w:rsid w:val="00394DA6"/>
    <w:pPr>
      <w:spacing w:after="120"/>
    </w:pPr>
    <w:rPr>
      <w:sz w:val="16"/>
      <w:szCs w:val="16"/>
    </w:rPr>
  </w:style>
  <w:style w:type="paragraph" w:customStyle="1" w:styleId="31">
    <w:name w:val="Основной текст с отступом 31"/>
    <w:basedOn w:val="a"/>
    <w:rsid w:val="00394DA6"/>
    <w:pPr>
      <w:spacing w:after="120"/>
      <w:ind w:left="283"/>
    </w:pPr>
    <w:rPr>
      <w:sz w:val="16"/>
      <w:szCs w:val="16"/>
    </w:rPr>
  </w:style>
  <w:style w:type="paragraph" w:customStyle="1" w:styleId="Iniiaiieoaeno">
    <w:name w:val="Iniiaiie oaeno"/>
    <w:basedOn w:val="a"/>
    <w:rsid w:val="00394DA6"/>
    <w:pPr>
      <w:suppressAutoHyphens/>
      <w:overflowPunct w:val="0"/>
      <w:autoSpaceDE w:val="0"/>
      <w:spacing w:line="228" w:lineRule="auto"/>
      <w:jc w:val="both"/>
    </w:pPr>
    <w:rPr>
      <w:sz w:val="28"/>
      <w:szCs w:val="28"/>
      <w:lang w:val="en-US"/>
    </w:rPr>
  </w:style>
  <w:style w:type="paragraph" w:customStyle="1" w:styleId="12">
    <w:name w:val="Текст1"/>
    <w:basedOn w:val="a"/>
    <w:rsid w:val="00394DA6"/>
    <w:rPr>
      <w:rFonts w:ascii="Courier New" w:hAnsi="Courier New" w:cs="Courier New"/>
      <w:sz w:val="20"/>
      <w:szCs w:val="20"/>
      <w:lang w:val="ru-RU"/>
    </w:rPr>
  </w:style>
  <w:style w:type="paragraph" w:styleId="ad">
    <w:name w:val="Title"/>
    <w:basedOn w:val="a"/>
    <w:next w:val="ae"/>
    <w:qFormat/>
    <w:rsid w:val="00394DA6"/>
    <w:pPr>
      <w:autoSpaceDE w:val="0"/>
      <w:jc w:val="center"/>
    </w:pPr>
    <w:rPr>
      <w:b/>
      <w:i/>
      <w:sz w:val="32"/>
      <w:szCs w:val="20"/>
    </w:rPr>
  </w:style>
  <w:style w:type="paragraph" w:styleId="ae">
    <w:name w:val="Subtitle"/>
    <w:basedOn w:val="a6"/>
    <w:next w:val="a7"/>
    <w:qFormat/>
    <w:rsid w:val="00394DA6"/>
    <w:pPr>
      <w:jc w:val="center"/>
    </w:pPr>
    <w:rPr>
      <w:i/>
      <w:iCs/>
    </w:rPr>
  </w:style>
  <w:style w:type="paragraph" w:customStyle="1" w:styleId="13">
    <w:name w:val="Обычный1"/>
    <w:rsid w:val="00394DA6"/>
    <w:pPr>
      <w:suppressAutoHyphens/>
      <w:autoSpaceDE w:val="0"/>
    </w:pPr>
    <w:rPr>
      <w:rFonts w:eastAsia="Arial"/>
      <w:lang w:eastAsia="ar-SA"/>
    </w:rPr>
  </w:style>
  <w:style w:type="paragraph" w:customStyle="1" w:styleId="af">
    <w:name w:val="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styleId="af1">
    <w:name w:val="header"/>
    <w:basedOn w:val="a"/>
    <w:link w:val="af2"/>
    <w:rsid w:val="00394DA6"/>
    <w:pPr>
      <w:tabs>
        <w:tab w:val="center" w:pos="4153"/>
        <w:tab w:val="right" w:pos="8306"/>
      </w:tabs>
    </w:pPr>
  </w:style>
  <w:style w:type="paragraph" w:customStyle="1" w:styleId="14">
    <w:name w:val="Знак Знак Знак Знак Знак Знак1 Знак Знак Знак Знак Знак Знак 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par">
    <w:name w:val="par"/>
    <w:basedOn w:val="a"/>
    <w:rsid w:val="00394DA6"/>
    <w:pPr>
      <w:autoSpaceDE w:val="0"/>
      <w:spacing w:before="100" w:after="100"/>
    </w:pPr>
    <w:rPr>
      <w:szCs w:val="20"/>
      <w:lang w:val="ru-RU"/>
    </w:rPr>
  </w:style>
  <w:style w:type="paragraph" w:styleId="af3">
    <w:name w:val="Balloon Text"/>
    <w:basedOn w:val="a"/>
    <w:rsid w:val="00394DA6"/>
    <w:rPr>
      <w:rFonts w:ascii="Tahoma" w:hAnsi="Tahoma" w:cs="Tahoma"/>
      <w:sz w:val="16"/>
      <w:szCs w:val="16"/>
    </w:rPr>
  </w:style>
  <w:style w:type="paragraph" w:customStyle="1" w:styleId="15">
    <w:name w:val="Название объекта1"/>
    <w:basedOn w:val="a"/>
    <w:next w:val="a"/>
    <w:rsid w:val="00394DA6"/>
    <w:pPr>
      <w:jc w:val="center"/>
    </w:pPr>
    <w:rPr>
      <w:b/>
      <w:bCs/>
    </w:rPr>
  </w:style>
  <w:style w:type="paragraph" w:customStyle="1" w:styleId="16">
    <w:name w:val="Цитата1"/>
    <w:basedOn w:val="a"/>
    <w:rsid w:val="00394DA6"/>
    <w:pPr>
      <w:tabs>
        <w:tab w:val="left" w:pos="5529"/>
      </w:tabs>
      <w:ind w:left="567" w:right="4364"/>
      <w:jc w:val="both"/>
    </w:pPr>
    <w:rPr>
      <w:i/>
      <w:iCs/>
      <w:szCs w:val="20"/>
    </w:rPr>
  </w:style>
  <w:style w:type="paragraph" w:customStyle="1" w:styleId="af4">
    <w:name w:val="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 Знак Знак Знак Знак Знак Знак Знак Знак Знак Знак1 Знак Знак Знак Знак Знак Знак1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Iacaaiea">
    <w:name w:val="Iacaaiea"/>
    <w:basedOn w:val="a"/>
    <w:rsid w:val="00394DA6"/>
    <w:pPr>
      <w:suppressAutoHyphens/>
      <w:autoSpaceDE w:val="0"/>
      <w:spacing w:line="228" w:lineRule="auto"/>
      <w:jc w:val="center"/>
    </w:pPr>
    <w:rPr>
      <w:b/>
      <w:bCs/>
      <w:i/>
      <w:iCs/>
      <w:sz w:val="32"/>
      <w:szCs w:val="32"/>
      <w:lang w:val="en-US"/>
    </w:rPr>
  </w:style>
  <w:style w:type="paragraph" w:customStyle="1" w:styleId="17">
    <w:name w:val="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2">
    <w:name w:val="Знак Знак2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rsid w:val="00394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ru-RU"/>
    </w:rPr>
  </w:style>
  <w:style w:type="paragraph" w:styleId="af5">
    <w:name w:val="Normal (Web)"/>
    <w:basedOn w:val="a"/>
    <w:rsid w:val="00394DA6"/>
    <w:pPr>
      <w:spacing w:before="280" w:after="280"/>
    </w:pPr>
    <w:rPr>
      <w:lang w:val="ru-RU"/>
    </w:rPr>
  </w:style>
  <w:style w:type="paragraph" w:customStyle="1" w:styleId="af6">
    <w:name w:val="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5">
    <w:name w:val="Знак Знак5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7">
    <w:name w:val="Таблица"/>
    <w:basedOn w:val="a"/>
    <w:rsid w:val="00394DA6"/>
    <w:rPr>
      <w:szCs w:val="20"/>
    </w:rPr>
  </w:style>
  <w:style w:type="paragraph" w:customStyle="1" w:styleId="18">
    <w:name w:val="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11">
    <w:name w:val="Знак Знак Знак Знак Знак Знак1 Знак Знак Знак Знак Знак Знак Знак Знак Знак Знак Знак Знак Знак Знак Знак Знак Знак Знак 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rsid w:val="00394DA6"/>
    <w:pPr>
      <w:suppressAutoHyphens/>
      <w:jc w:val="both"/>
    </w:pPr>
    <w:rPr>
      <w:rFonts w:cs="Calibri"/>
      <w:sz w:val="28"/>
    </w:rPr>
  </w:style>
  <w:style w:type="paragraph" w:customStyle="1" w:styleId="210">
    <w:name w:val="Основной текст с отступом 21"/>
    <w:basedOn w:val="a"/>
    <w:rsid w:val="00394DA6"/>
    <w:pPr>
      <w:suppressAutoHyphens/>
      <w:ind w:firstLine="720"/>
      <w:jc w:val="both"/>
    </w:pPr>
    <w:rPr>
      <w:rFonts w:cs="Calibri"/>
      <w:sz w:val="28"/>
    </w:rPr>
  </w:style>
  <w:style w:type="paragraph" w:customStyle="1" w:styleId="af8">
    <w:name w:val="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20">
    <w:name w:val="сновной текст с отступом 2"/>
    <w:basedOn w:val="a"/>
    <w:rsid w:val="00394DA6"/>
    <w:pPr>
      <w:tabs>
        <w:tab w:val="left" w:pos="8364"/>
      </w:tabs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a">
    <w:name w:val="Вміст таблиці"/>
    <w:basedOn w:val="a"/>
    <w:rsid w:val="00394DA6"/>
    <w:pPr>
      <w:suppressLineNumbers/>
    </w:pPr>
  </w:style>
  <w:style w:type="paragraph" w:customStyle="1" w:styleId="afb">
    <w:name w:val="Заголовок таблиці"/>
    <w:basedOn w:val="afa"/>
    <w:rsid w:val="00394DA6"/>
    <w:pPr>
      <w:jc w:val="center"/>
    </w:pPr>
    <w:rPr>
      <w:b/>
      <w:bCs/>
    </w:rPr>
  </w:style>
  <w:style w:type="paragraph" w:styleId="afc">
    <w:name w:val="footer"/>
    <w:basedOn w:val="a"/>
    <w:rsid w:val="00F06908"/>
    <w:pPr>
      <w:tabs>
        <w:tab w:val="center" w:pos="4677"/>
        <w:tab w:val="right" w:pos="9355"/>
      </w:tabs>
    </w:pPr>
  </w:style>
  <w:style w:type="paragraph" w:styleId="23">
    <w:name w:val="Body Text Indent 2"/>
    <w:basedOn w:val="a"/>
    <w:link w:val="24"/>
    <w:rsid w:val="009E7BB1"/>
    <w:pPr>
      <w:spacing w:after="120" w:line="480" w:lineRule="auto"/>
      <w:ind w:left="283"/>
    </w:pPr>
  </w:style>
  <w:style w:type="paragraph" w:customStyle="1" w:styleId="afd">
    <w:name w:val="Знак Знак Знак Знак"/>
    <w:basedOn w:val="a"/>
    <w:rsid w:val="009E7BB1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B10F6A"/>
    <w:pPr>
      <w:spacing w:after="120"/>
    </w:pPr>
    <w:rPr>
      <w:sz w:val="16"/>
      <w:szCs w:val="16"/>
    </w:rPr>
  </w:style>
  <w:style w:type="paragraph" w:styleId="33">
    <w:name w:val="Body Text Indent 3"/>
    <w:basedOn w:val="a"/>
    <w:link w:val="34"/>
    <w:uiPriority w:val="99"/>
    <w:rsid w:val="00B10F6A"/>
    <w:pPr>
      <w:spacing w:after="120"/>
      <w:ind w:left="283"/>
    </w:pPr>
    <w:rPr>
      <w:sz w:val="16"/>
      <w:szCs w:val="16"/>
    </w:rPr>
  </w:style>
  <w:style w:type="paragraph" w:styleId="afe">
    <w:name w:val="Block Text"/>
    <w:basedOn w:val="a"/>
    <w:rsid w:val="00B10F6A"/>
    <w:pPr>
      <w:tabs>
        <w:tab w:val="left" w:pos="5529"/>
      </w:tabs>
      <w:ind w:left="567" w:right="4364"/>
      <w:jc w:val="both"/>
    </w:pPr>
    <w:rPr>
      <w:i/>
      <w:iCs/>
      <w:szCs w:val="20"/>
      <w:lang w:eastAsia="ru-RU"/>
    </w:rPr>
  </w:style>
  <w:style w:type="paragraph" w:customStyle="1" w:styleId="aff">
    <w:name w:val="отменить формат"/>
    <w:basedOn w:val="30"/>
    <w:rsid w:val="00644ADE"/>
    <w:pPr>
      <w:ind w:firstLine="522"/>
      <w:jc w:val="both"/>
    </w:pPr>
  </w:style>
  <w:style w:type="paragraph" w:customStyle="1" w:styleId="1a">
    <w:name w:val="1"/>
    <w:basedOn w:val="a"/>
    <w:rsid w:val="006A6B2F"/>
    <w:rPr>
      <w:rFonts w:ascii="Verdana" w:hAnsi="Verdana" w:cs="Verdana"/>
      <w:sz w:val="20"/>
      <w:szCs w:val="20"/>
      <w:lang w:val="en-US" w:eastAsia="en-US"/>
    </w:rPr>
  </w:style>
  <w:style w:type="paragraph" w:customStyle="1" w:styleId="BodyText2">
    <w:name w:val="Body Text 2.Подпись к рис."/>
    <w:rsid w:val="0035088F"/>
    <w:pPr>
      <w:autoSpaceDE w:val="0"/>
      <w:autoSpaceDN w:val="0"/>
      <w:ind w:left="1134"/>
    </w:pPr>
    <w:rPr>
      <w:sz w:val="28"/>
      <w:szCs w:val="28"/>
      <w:lang w:val="uk-UA" w:eastAsia="uk-UA"/>
    </w:rPr>
  </w:style>
  <w:style w:type="paragraph" w:styleId="25">
    <w:name w:val="Body Text 2"/>
    <w:basedOn w:val="a"/>
    <w:rsid w:val="00EE39BA"/>
    <w:pPr>
      <w:spacing w:after="120" w:line="480" w:lineRule="auto"/>
    </w:pPr>
  </w:style>
  <w:style w:type="paragraph" w:customStyle="1" w:styleId="230">
    <w:name w:val="Основной текст с отступом 23"/>
    <w:basedOn w:val="a"/>
    <w:rsid w:val="00C9615E"/>
    <w:pPr>
      <w:suppressAutoHyphens/>
      <w:spacing w:after="120" w:line="480" w:lineRule="auto"/>
      <w:ind w:left="283"/>
    </w:pPr>
  </w:style>
  <w:style w:type="paragraph" w:customStyle="1" w:styleId="330">
    <w:name w:val="Основной текст с отступом 33"/>
    <w:basedOn w:val="a"/>
    <w:rsid w:val="006052BD"/>
    <w:pPr>
      <w:suppressAutoHyphens/>
      <w:spacing w:after="120"/>
      <w:ind w:left="283"/>
    </w:pPr>
    <w:rPr>
      <w:sz w:val="16"/>
      <w:szCs w:val="16"/>
    </w:rPr>
  </w:style>
  <w:style w:type="paragraph" w:customStyle="1" w:styleId="340">
    <w:name w:val="Основной текст с отступом 34"/>
    <w:basedOn w:val="a"/>
    <w:rsid w:val="006052BD"/>
    <w:pPr>
      <w:suppressAutoHyphens/>
      <w:spacing w:after="120"/>
      <w:ind w:left="283"/>
    </w:pPr>
    <w:rPr>
      <w:sz w:val="16"/>
      <w:szCs w:val="16"/>
    </w:rPr>
  </w:style>
  <w:style w:type="character" w:customStyle="1" w:styleId="s11">
    <w:name w:val="s11"/>
    <w:rsid w:val="006052BD"/>
    <w:rPr>
      <w:rFonts w:ascii="Verdana" w:hAnsi="Verdana"/>
      <w:strike w:val="0"/>
      <w:dstrike w:val="0"/>
      <w:color w:val="303030"/>
      <w:sz w:val="16"/>
      <w:szCs w:val="16"/>
      <w:u w:val="none"/>
    </w:rPr>
  </w:style>
  <w:style w:type="character" w:customStyle="1" w:styleId="FontStyle36">
    <w:name w:val="Font Style36"/>
    <w:rsid w:val="006052BD"/>
    <w:rPr>
      <w:rFonts w:ascii="Times New Roman" w:hAnsi="Times New Roman" w:cs="Times New Roman"/>
      <w:i/>
      <w:iCs/>
      <w:sz w:val="24"/>
      <w:szCs w:val="24"/>
    </w:rPr>
  </w:style>
  <w:style w:type="paragraph" w:customStyle="1" w:styleId="textinform">
    <w:name w:val="textinform"/>
    <w:basedOn w:val="a"/>
    <w:rsid w:val="004052D3"/>
    <w:pPr>
      <w:spacing w:after="120"/>
      <w:ind w:left="300"/>
    </w:pPr>
    <w:rPr>
      <w:color w:val="000000"/>
      <w:lang w:val="ru-RU" w:eastAsia="ru-RU"/>
    </w:rPr>
  </w:style>
  <w:style w:type="paragraph" w:styleId="aff0">
    <w:name w:val="Plain Text"/>
    <w:basedOn w:val="a"/>
    <w:rsid w:val="004052D3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b">
    <w:name w:val="Знак Знак1 Знак Знак Знак Знак Знак Знак Знак Знак Знак Знак Знак Знак Знак Знак"/>
    <w:basedOn w:val="a"/>
    <w:rsid w:val="004D77EE"/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"/>
    <w:basedOn w:val="a"/>
    <w:rsid w:val="00A24D6C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rsid w:val="00D8010E"/>
    <w:rPr>
      <w:rFonts w:ascii="Verdana" w:hAnsi="Verdana" w:cs="Verdana"/>
      <w:sz w:val="20"/>
      <w:szCs w:val="20"/>
      <w:lang w:val="en-US" w:eastAsia="en-US"/>
    </w:rPr>
  </w:style>
  <w:style w:type="paragraph" w:customStyle="1" w:styleId="331">
    <w:name w:val="Основной текст 33"/>
    <w:basedOn w:val="a"/>
    <w:rsid w:val="00C26D16"/>
    <w:pPr>
      <w:spacing w:after="120"/>
    </w:pPr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C94860"/>
    <w:rPr>
      <w:sz w:val="24"/>
      <w:szCs w:val="24"/>
      <w:lang w:val="uk-UA" w:eastAsia="ar-SA"/>
    </w:rPr>
  </w:style>
  <w:style w:type="character" w:customStyle="1" w:styleId="af2">
    <w:name w:val="Верхний колонтитул Знак"/>
    <w:link w:val="af1"/>
    <w:rsid w:val="00C94860"/>
    <w:rPr>
      <w:sz w:val="24"/>
      <w:szCs w:val="24"/>
      <w:lang w:val="uk-UA" w:eastAsia="ar-SA"/>
    </w:rPr>
  </w:style>
  <w:style w:type="paragraph" w:styleId="aff3">
    <w:name w:val="caption"/>
    <w:basedOn w:val="a"/>
    <w:next w:val="a"/>
    <w:qFormat/>
    <w:rsid w:val="0014695B"/>
    <w:rPr>
      <w:b/>
      <w:szCs w:val="20"/>
      <w:lang w:eastAsia="ru-RU"/>
    </w:rPr>
  </w:style>
  <w:style w:type="paragraph" w:customStyle="1" w:styleId="1c">
    <w:name w:val="Знак Знак Знак1"/>
    <w:basedOn w:val="a"/>
    <w:rsid w:val="00E519EA"/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Основний текст з відступом 21"/>
    <w:basedOn w:val="a"/>
    <w:rsid w:val="00F32A69"/>
    <w:pPr>
      <w:ind w:firstLine="720"/>
      <w:jc w:val="both"/>
    </w:pPr>
    <w:rPr>
      <w:sz w:val="28"/>
      <w:szCs w:val="20"/>
      <w:lang w:eastAsia="ru-RU"/>
    </w:rPr>
  </w:style>
  <w:style w:type="paragraph" w:customStyle="1" w:styleId="341">
    <w:name w:val="Основной текст 34"/>
    <w:basedOn w:val="a"/>
    <w:rsid w:val="00C60730"/>
    <w:pPr>
      <w:spacing w:after="120"/>
    </w:pPr>
    <w:rPr>
      <w:sz w:val="16"/>
      <w:szCs w:val="16"/>
    </w:rPr>
  </w:style>
  <w:style w:type="paragraph" w:customStyle="1" w:styleId="26">
    <w:name w:val="Название объекта2"/>
    <w:basedOn w:val="a"/>
    <w:next w:val="a"/>
    <w:rsid w:val="00C60730"/>
    <w:rPr>
      <w:b/>
      <w:szCs w:val="20"/>
    </w:rPr>
  </w:style>
  <w:style w:type="paragraph" w:customStyle="1" w:styleId="aff4">
    <w:name w:val="Знак"/>
    <w:basedOn w:val="a"/>
    <w:rsid w:val="001E0BE6"/>
    <w:rPr>
      <w:rFonts w:ascii="Verdana" w:hAnsi="Verdana" w:cs="Verdana"/>
      <w:sz w:val="20"/>
      <w:szCs w:val="20"/>
      <w:lang w:val="en-US" w:eastAsia="en-US"/>
    </w:rPr>
  </w:style>
  <w:style w:type="paragraph" w:customStyle="1" w:styleId="1d">
    <w:name w:val="Знак1"/>
    <w:basedOn w:val="a"/>
    <w:rsid w:val="00760784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link w:val="33"/>
    <w:uiPriority w:val="99"/>
    <w:rsid w:val="00D92F0F"/>
    <w:rPr>
      <w:sz w:val="16"/>
      <w:szCs w:val="16"/>
      <w:lang w:val="uk-UA" w:eastAsia="ar-SA" w:bidi="ar-SA"/>
    </w:rPr>
  </w:style>
  <w:style w:type="paragraph" w:customStyle="1" w:styleId="112">
    <w:name w:val="Знак Знак Знак Знак Знак Знак Знак Знак Знак Знак Знак Знак1 Знак Знак Знак Знак Знак Знак1 Знак Знак Знак Знак Знак Знак"/>
    <w:basedOn w:val="a"/>
    <w:rsid w:val="000A04F4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Основной текст Знак"/>
    <w:link w:val="a7"/>
    <w:rsid w:val="004532B2"/>
    <w:rPr>
      <w:b/>
      <w:sz w:val="28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4532B2"/>
    <w:rPr>
      <w:sz w:val="28"/>
      <w:szCs w:val="28"/>
      <w:lang w:eastAsia="ar-SA"/>
    </w:rPr>
  </w:style>
  <w:style w:type="paragraph" w:customStyle="1" w:styleId="1e">
    <w:name w:val="Знак Знак Знак Знак Знак Знак1 Знак Знак Знак Знак Знак Знак Знак Знак Знак Знак Знак Знак Знак Знак Знак Знак"/>
    <w:basedOn w:val="a"/>
    <w:rsid w:val="00027FE1"/>
    <w:rPr>
      <w:rFonts w:ascii="Verdana" w:hAnsi="Verdana" w:cs="Verdana"/>
      <w:sz w:val="20"/>
      <w:szCs w:val="20"/>
      <w:lang w:val="en-US"/>
    </w:rPr>
  </w:style>
  <w:style w:type="paragraph" w:customStyle="1" w:styleId="1f">
    <w:name w:val="Знак Знак Знак Знак Знак Знак Знак Знак Знак1"/>
    <w:basedOn w:val="a"/>
    <w:rsid w:val="000F0FF7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"/>
    <w:basedOn w:val="a"/>
    <w:rsid w:val="00415362"/>
    <w:rPr>
      <w:rFonts w:ascii="Verdana" w:hAnsi="Verdana" w:cs="Verdana"/>
      <w:sz w:val="20"/>
      <w:szCs w:val="20"/>
      <w:lang w:val="en-US" w:eastAsia="en-US"/>
    </w:rPr>
  </w:style>
  <w:style w:type="paragraph" w:styleId="aff5">
    <w:name w:val="Document Map"/>
    <w:basedOn w:val="a"/>
    <w:semiHidden/>
    <w:rsid w:val="00BC16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9">
    <w:name w:val="Знак Знак9"/>
    <w:locked/>
    <w:rsid w:val="002A4EC4"/>
    <w:rPr>
      <w:b/>
      <w:sz w:val="28"/>
      <w:szCs w:val="24"/>
      <w:lang w:val="uk-UA" w:eastAsia="ar-SA" w:bidi="ar-SA"/>
    </w:rPr>
  </w:style>
  <w:style w:type="character" w:customStyle="1" w:styleId="80">
    <w:name w:val="Знак Знак8"/>
    <w:locked/>
    <w:rsid w:val="002A4EC4"/>
    <w:rPr>
      <w:sz w:val="28"/>
      <w:szCs w:val="28"/>
      <w:lang w:val="uk-UA" w:eastAsia="ar-SA" w:bidi="ar-SA"/>
    </w:rPr>
  </w:style>
  <w:style w:type="paragraph" w:customStyle="1" w:styleId="40">
    <w:name w:val="Знак Знак4"/>
    <w:basedOn w:val="a"/>
    <w:rsid w:val="003C7F8E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3">
    <w:name w:val="Char Знак Знак Char Знак Знак Char Знак Знак Char Знак Знак Знак Знак Знак Знак Знак Знак3"/>
    <w:basedOn w:val="a"/>
    <w:rsid w:val="00A042C9"/>
    <w:rPr>
      <w:rFonts w:ascii="Verdana" w:hAnsi="Verdana" w:cs="Verdana"/>
      <w:sz w:val="20"/>
      <w:szCs w:val="20"/>
      <w:lang w:val="en-US" w:eastAsia="en-US"/>
    </w:rPr>
  </w:style>
  <w:style w:type="paragraph" w:customStyle="1" w:styleId="1f0">
    <w:name w:val="Знак Знак1 Знак Знак"/>
    <w:basedOn w:val="a"/>
    <w:rsid w:val="00566C6A"/>
    <w:rPr>
      <w:rFonts w:ascii="Verdana" w:hAnsi="Verdana" w:cs="Verdana"/>
      <w:sz w:val="20"/>
      <w:szCs w:val="20"/>
      <w:lang w:val="en-US" w:eastAsia="en-US"/>
    </w:rPr>
  </w:style>
  <w:style w:type="character" w:customStyle="1" w:styleId="6">
    <w:name w:val="Основной текст + Курсив6"/>
    <w:rsid w:val="00B45CF9"/>
    <w:rPr>
      <w:rFonts w:ascii="Times New Roman" w:hAnsi="Times New Roman" w:cs="Times New Roman"/>
      <w:i/>
      <w:spacing w:val="0"/>
      <w:sz w:val="27"/>
    </w:rPr>
  </w:style>
  <w:style w:type="paragraph" w:customStyle="1" w:styleId="100">
    <w:name w:val="Знак Знак10 Знак Знак Знак Знак Знак Знак"/>
    <w:basedOn w:val="a"/>
    <w:rsid w:val="00226AAC"/>
    <w:rPr>
      <w:rFonts w:ascii="Verdana" w:hAnsi="Verdana" w:cs="Verdana"/>
      <w:sz w:val="20"/>
      <w:szCs w:val="20"/>
      <w:lang w:val="en-US" w:eastAsia="en-US"/>
    </w:rPr>
  </w:style>
  <w:style w:type="paragraph" w:customStyle="1" w:styleId="1f1">
    <w:name w:val="Без интервала1"/>
    <w:uiPriority w:val="1"/>
    <w:qFormat/>
    <w:rsid w:val="00226AAC"/>
    <w:rPr>
      <w:rFonts w:ascii="Calibri" w:hAnsi="Calibri"/>
      <w:sz w:val="22"/>
      <w:szCs w:val="22"/>
      <w:lang w:val="uk-UA" w:eastAsia="en-US"/>
    </w:rPr>
  </w:style>
  <w:style w:type="paragraph" w:customStyle="1" w:styleId="212">
    <w:name w:val="Знак Знак21"/>
    <w:basedOn w:val="a"/>
    <w:rsid w:val="007A4CF2"/>
    <w:rPr>
      <w:rFonts w:ascii="Verdana" w:hAnsi="Verdana" w:cs="Verdana"/>
      <w:sz w:val="20"/>
      <w:szCs w:val="20"/>
      <w:lang w:val="en-US" w:eastAsia="en-US"/>
    </w:rPr>
  </w:style>
  <w:style w:type="character" w:styleId="aff6">
    <w:name w:val="Emphasis"/>
    <w:basedOn w:val="a0"/>
    <w:qFormat/>
    <w:rsid w:val="006C6AC1"/>
    <w:rPr>
      <w:rFonts w:cs="Times New Roman"/>
      <w:i/>
      <w:iCs/>
    </w:rPr>
  </w:style>
  <w:style w:type="paragraph" w:styleId="aff7">
    <w:name w:val="List Paragraph"/>
    <w:basedOn w:val="a"/>
    <w:uiPriority w:val="34"/>
    <w:qFormat/>
    <w:rsid w:val="00AD0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955A7-7725-482D-9C93-F1B872441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14</Pages>
  <Words>31246</Words>
  <Characters>17811</Characters>
  <Application>Microsoft Office Word</Application>
  <DocSecurity>0</DocSecurity>
  <Lines>148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ПРОМИСЛОВЕ ВИРОБНИЦТВО</vt:lpstr>
      <vt:lpstr>ПРОМИСЛОВЕ ВИРОБНИЦТВО</vt:lpstr>
    </vt:vector>
  </TitlesOfParts>
  <Company>Головне управління економіки</Company>
  <LinksUpToDate>false</LinksUpToDate>
  <CharactersWithSpaces>48960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ПРОМИСЛОВЕ ВИРОБНИЦТВО</dc:title>
  <dc:subject/>
  <dc:creator>Гринев</dc:creator>
  <cp:keywords/>
  <dc:description/>
  <cp:lastModifiedBy>vitalik</cp:lastModifiedBy>
  <cp:revision>8</cp:revision>
  <cp:lastPrinted>2016-04-12T12:51:00Z</cp:lastPrinted>
  <dcterms:created xsi:type="dcterms:W3CDTF">2015-06-09T06:32:00Z</dcterms:created>
  <dcterms:modified xsi:type="dcterms:W3CDTF">2016-04-12T12:58:00Z</dcterms:modified>
</cp:coreProperties>
</file>