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799" w:rsidRPr="00F353B8" w:rsidRDefault="00990799" w:rsidP="00CB796B">
      <w:pPr>
        <w:pStyle w:val="32"/>
        <w:spacing w:after="0"/>
        <w:ind w:firstLine="284"/>
        <w:jc w:val="center"/>
        <w:outlineLvl w:val="0"/>
        <w:rPr>
          <w:b/>
          <w:sz w:val="24"/>
          <w:szCs w:val="24"/>
        </w:rPr>
      </w:pPr>
      <w:r w:rsidRPr="00F353B8">
        <w:rPr>
          <w:b/>
          <w:sz w:val="24"/>
          <w:szCs w:val="24"/>
        </w:rPr>
        <w:t>АНАЛІТИЧНА ДОВІДКА</w:t>
      </w:r>
      <w:r w:rsidR="000F25FE" w:rsidRPr="00F353B8">
        <w:rPr>
          <w:b/>
          <w:sz w:val="24"/>
          <w:szCs w:val="24"/>
        </w:rPr>
        <w:t xml:space="preserve"> ЗА</w:t>
      </w:r>
      <w:r w:rsidR="00CB7F67" w:rsidRPr="00F353B8">
        <w:rPr>
          <w:b/>
          <w:sz w:val="24"/>
          <w:szCs w:val="24"/>
        </w:rPr>
        <w:t>СІЧЕНЬ</w:t>
      </w:r>
      <w:r w:rsidR="0055564F">
        <w:rPr>
          <w:b/>
          <w:sz w:val="24"/>
          <w:szCs w:val="24"/>
        </w:rPr>
        <w:t>-</w:t>
      </w:r>
      <w:r w:rsidR="00E44867">
        <w:rPr>
          <w:b/>
          <w:sz w:val="24"/>
          <w:szCs w:val="24"/>
        </w:rPr>
        <w:t>КВІТЕНЬ</w:t>
      </w:r>
      <w:r w:rsidR="00CB7F67" w:rsidRPr="00F353B8">
        <w:rPr>
          <w:b/>
          <w:sz w:val="24"/>
          <w:szCs w:val="24"/>
        </w:rPr>
        <w:t xml:space="preserve"> 201</w:t>
      </w:r>
      <w:r w:rsidR="004877A9">
        <w:rPr>
          <w:b/>
          <w:sz w:val="24"/>
          <w:szCs w:val="24"/>
        </w:rPr>
        <w:t>6</w:t>
      </w:r>
      <w:r w:rsidR="00717932" w:rsidRPr="00F353B8">
        <w:rPr>
          <w:b/>
          <w:sz w:val="24"/>
          <w:szCs w:val="24"/>
        </w:rPr>
        <w:t>Р</w:t>
      </w:r>
      <w:r w:rsidR="00CB7F67" w:rsidRPr="00F353B8">
        <w:rPr>
          <w:b/>
          <w:sz w:val="24"/>
          <w:szCs w:val="24"/>
        </w:rPr>
        <w:t>О</w:t>
      </w:r>
      <w:r w:rsidR="00B234E3" w:rsidRPr="00F353B8">
        <w:rPr>
          <w:b/>
          <w:sz w:val="24"/>
          <w:szCs w:val="24"/>
        </w:rPr>
        <w:t>К</w:t>
      </w:r>
      <w:r w:rsidR="00CB7F67" w:rsidRPr="00F353B8">
        <w:rPr>
          <w:b/>
          <w:sz w:val="24"/>
          <w:szCs w:val="24"/>
        </w:rPr>
        <w:t>У</w:t>
      </w:r>
    </w:p>
    <w:p w:rsidR="00B046B4" w:rsidRPr="00F353B8" w:rsidRDefault="00990799" w:rsidP="00CB796B">
      <w:pPr>
        <w:pStyle w:val="32"/>
        <w:spacing w:after="0"/>
        <w:ind w:firstLine="540"/>
        <w:jc w:val="center"/>
        <w:rPr>
          <w:b/>
          <w:sz w:val="24"/>
          <w:szCs w:val="24"/>
        </w:rPr>
      </w:pPr>
      <w:r w:rsidRPr="00F353B8">
        <w:rPr>
          <w:b/>
          <w:sz w:val="24"/>
          <w:szCs w:val="24"/>
        </w:rPr>
        <w:t>ЩОДО ЕКОНОМІЧНОГО РОЗВИТКУ ВІННИЦЬКОЇ ОБЛАСТІ</w:t>
      </w:r>
    </w:p>
    <w:p w:rsidR="00C573CC" w:rsidRPr="00F353B8" w:rsidRDefault="00C573CC" w:rsidP="00CB796B">
      <w:pPr>
        <w:pStyle w:val="32"/>
        <w:spacing w:after="0"/>
        <w:ind w:firstLine="540"/>
        <w:jc w:val="center"/>
        <w:rPr>
          <w:b/>
          <w:i/>
          <w:sz w:val="24"/>
          <w:szCs w:val="24"/>
          <w:u w:val="single"/>
        </w:rPr>
      </w:pPr>
      <w:r w:rsidRPr="00F353B8">
        <w:rPr>
          <w:b/>
          <w:i/>
          <w:sz w:val="24"/>
          <w:szCs w:val="24"/>
          <w:u w:val="single"/>
        </w:rPr>
        <w:t>За даними та методикою розрахунків</w:t>
      </w:r>
    </w:p>
    <w:p w:rsidR="003F72CE" w:rsidRPr="00F353B8" w:rsidRDefault="00C573CC" w:rsidP="00CB796B">
      <w:pPr>
        <w:pStyle w:val="32"/>
        <w:spacing w:after="0"/>
        <w:ind w:firstLine="540"/>
        <w:jc w:val="center"/>
        <w:rPr>
          <w:b/>
          <w:i/>
          <w:sz w:val="24"/>
          <w:szCs w:val="24"/>
          <w:u w:val="single"/>
        </w:rPr>
      </w:pPr>
      <w:r w:rsidRPr="00F353B8">
        <w:rPr>
          <w:b/>
          <w:i/>
          <w:sz w:val="24"/>
          <w:szCs w:val="24"/>
          <w:u w:val="single"/>
        </w:rPr>
        <w:t>Головного управління статистики у Вінницькій області</w:t>
      </w:r>
    </w:p>
    <w:p w:rsidR="00990799" w:rsidRPr="00F353B8" w:rsidRDefault="00990799" w:rsidP="00CB796B">
      <w:pPr>
        <w:pStyle w:val="32"/>
        <w:spacing w:after="0"/>
        <w:ind w:firstLine="284"/>
        <w:jc w:val="center"/>
        <w:outlineLvl w:val="0"/>
        <w:rPr>
          <w:b/>
          <w:sz w:val="24"/>
          <w:szCs w:val="24"/>
        </w:rPr>
      </w:pPr>
    </w:p>
    <w:p w:rsidR="00990799" w:rsidRPr="00F353B8" w:rsidRDefault="00990799" w:rsidP="00CB796B">
      <w:pPr>
        <w:pStyle w:val="Iniiaiieoaeno"/>
        <w:spacing w:line="240" w:lineRule="auto"/>
        <w:ind w:firstLine="284"/>
        <w:jc w:val="center"/>
        <w:outlineLvl w:val="0"/>
        <w:rPr>
          <w:b/>
          <w:sz w:val="24"/>
          <w:szCs w:val="24"/>
          <w:lang w:val="uk-UA"/>
        </w:rPr>
      </w:pPr>
      <w:r w:rsidRPr="00F353B8">
        <w:rPr>
          <w:b/>
          <w:sz w:val="24"/>
          <w:szCs w:val="24"/>
          <w:lang w:val="uk-UA"/>
        </w:rPr>
        <w:t>ПРОМИСЛОВЕ ВИРОБНИЦТВО</w:t>
      </w:r>
    </w:p>
    <w:tbl>
      <w:tblPr>
        <w:tblW w:w="107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9050"/>
      </w:tblGrid>
      <w:tr w:rsidR="00CB796B" w:rsidRPr="00F43EED" w:rsidTr="00421ED8">
        <w:trPr>
          <w:trHeight w:val="835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A87DC3" w:rsidRPr="00F43EED" w:rsidRDefault="00990799" w:rsidP="00CB796B">
            <w:pPr>
              <w:snapToGrid w:val="0"/>
              <w:rPr>
                <w:b/>
                <w:i/>
              </w:rPr>
            </w:pPr>
            <w:r w:rsidRPr="00F43EED">
              <w:rPr>
                <w:b/>
                <w:i/>
              </w:rPr>
              <w:t>Аналіз роботи галузей промисловості</w:t>
            </w:r>
          </w:p>
          <w:p w:rsidR="00990799" w:rsidRPr="00F43EED" w:rsidRDefault="00990799" w:rsidP="00CB796B">
            <w:pPr>
              <w:jc w:val="center"/>
            </w:pPr>
          </w:p>
        </w:tc>
        <w:tc>
          <w:tcPr>
            <w:tcW w:w="90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867" w:rsidRPr="00F43EED" w:rsidRDefault="00E44867" w:rsidP="0000432A">
            <w:pPr>
              <w:suppressAutoHyphens/>
              <w:ind w:firstLine="459"/>
              <w:jc w:val="both"/>
              <w:rPr>
                <w:bCs/>
                <w:iCs/>
              </w:rPr>
            </w:pPr>
            <w:r w:rsidRPr="00F43EED">
              <w:rPr>
                <w:bCs/>
                <w:iCs/>
              </w:rPr>
              <w:t>За інформацією Головного управління статистики у Вінницькій області у січні-квітні 2016 року індекс промислового виробництва склав 93,0% до відповідного періоду 2015 року, а виробництво у квітні 2016 року зменшено на 0,5% у зрівнянні з показником березня 2016 року та зменшено на 3,8% від рівня відповідного місяця 2015 року.</w:t>
            </w:r>
          </w:p>
          <w:p w:rsidR="00E44867" w:rsidRPr="00F43EED" w:rsidRDefault="00E44867" w:rsidP="0000432A">
            <w:pPr>
              <w:suppressAutoHyphens/>
              <w:ind w:firstLine="459"/>
              <w:jc w:val="both"/>
              <w:rPr>
                <w:bCs/>
                <w:iCs/>
              </w:rPr>
            </w:pPr>
            <w:r w:rsidRPr="00F43EED">
              <w:rPr>
                <w:bCs/>
                <w:iCs/>
              </w:rPr>
              <w:t>Серед областей України Вінницька область за результатами роботи підприємств промисловості за січень-квітень 2016 року посідає 22 місце (</w:t>
            </w:r>
            <w:r w:rsidRPr="00F43EED">
              <w:rPr>
                <w:bCs/>
                <w:i/>
                <w:iCs/>
              </w:rPr>
              <w:t xml:space="preserve">індекс промислової продукції по Україні становить </w:t>
            </w:r>
            <w:r w:rsidRPr="00F43EED">
              <w:rPr>
                <w:bCs/>
                <w:i/>
                <w:iCs/>
                <w:lang w:val="ru-RU"/>
              </w:rPr>
              <w:t>103,7</w:t>
            </w:r>
            <w:r w:rsidRPr="00F43EED">
              <w:rPr>
                <w:bCs/>
                <w:i/>
                <w:iCs/>
              </w:rPr>
              <w:t>%</w:t>
            </w:r>
            <w:r w:rsidRPr="00F43EED">
              <w:rPr>
                <w:bCs/>
                <w:iCs/>
              </w:rPr>
              <w:t>).</w:t>
            </w:r>
          </w:p>
          <w:p w:rsidR="00E44867" w:rsidRPr="00F43EED" w:rsidRDefault="00E44867" w:rsidP="0000432A">
            <w:pPr>
              <w:suppressAutoHyphens/>
              <w:ind w:firstLine="459"/>
              <w:jc w:val="both"/>
              <w:rPr>
                <w:bCs/>
                <w:iCs/>
              </w:rPr>
            </w:pPr>
            <w:r w:rsidRPr="00F43EED">
              <w:rPr>
                <w:bCs/>
                <w:iCs/>
              </w:rPr>
              <w:t>У січні-квітні 2016 року порівняно з відповідним періодом минулого року обсяги виробництва продукції у добувній та переробній промисловості збільшились на 4,9%, у переробній промисловості збільшення обсягів становить 6,2% (за рахунок збільшення обсягів у харчовій (5,3%), деревообробній (6,1%), фармацевтичній (56,9%), машинобудівній (34,5%), на підприємствах з виробництва будівельних матеріалів (35,4%) та у виробництві металевих виробів (5,6%).</w:t>
            </w:r>
          </w:p>
          <w:p w:rsidR="00E44867" w:rsidRPr="00F43EED" w:rsidRDefault="00E44867" w:rsidP="0000432A">
            <w:pPr>
              <w:suppressAutoHyphens/>
              <w:ind w:firstLine="459"/>
              <w:jc w:val="both"/>
              <w:rPr>
                <w:bCs/>
                <w:iCs/>
              </w:rPr>
            </w:pPr>
            <w:r w:rsidRPr="00F43EED">
              <w:rPr>
                <w:bCs/>
                <w:iCs/>
              </w:rPr>
              <w:t>Проте у січні-квітні 2016 року спостерігається зменшення обсягів виробництва у таких галузях як добувна (-29,9%), легка (-5,3%), хімічна (-41,2%).</w:t>
            </w:r>
          </w:p>
          <w:p w:rsidR="00E44867" w:rsidRPr="00F43EED" w:rsidRDefault="00E44867" w:rsidP="0000432A">
            <w:pPr>
              <w:suppressAutoHyphens/>
              <w:ind w:firstLine="459"/>
              <w:jc w:val="both"/>
              <w:rPr>
                <w:bCs/>
                <w:iCs/>
              </w:rPr>
            </w:pPr>
            <w:r w:rsidRPr="00F43EED">
              <w:rPr>
                <w:bCs/>
                <w:iCs/>
              </w:rPr>
              <w:t xml:space="preserve">Зменшилось падіння обсягів виробництва та постачання електроенергії, газу, пари та кондиційованого повітря на 2.0в.п. до </w:t>
            </w:r>
            <w:proofErr w:type="spellStart"/>
            <w:r w:rsidRPr="00F43EED">
              <w:rPr>
                <w:bCs/>
                <w:iCs/>
              </w:rPr>
              <w:t>періода</w:t>
            </w:r>
            <w:proofErr w:type="spellEnd"/>
            <w:r w:rsidRPr="00F43EED">
              <w:rPr>
                <w:bCs/>
                <w:iCs/>
              </w:rPr>
              <w:t xml:space="preserve"> січня-березня 2016 року. Так, у січні-квітні 2016 року зафіксовано зниження показника на 34,8% у зрівнянні з відповідним періодом 2015 року (січень-березень 2016 рок</w:t>
            </w:r>
            <w:r w:rsidR="00CD76F0">
              <w:rPr>
                <w:bCs/>
                <w:iCs/>
              </w:rPr>
              <w:t>у цей показник становив 36,8%).</w:t>
            </w:r>
          </w:p>
          <w:p w:rsidR="00E44867" w:rsidRPr="00F43EED" w:rsidRDefault="00E44867" w:rsidP="0000432A">
            <w:pPr>
              <w:suppressAutoHyphens/>
              <w:ind w:firstLine="459"/>
              <w:jc w:val="both"/>
              <w:rPr>
                <w:bCs/>
                <w:iCs/>
              </w:rPr>
            </w:pPr>
            <w:r w:rsidRPr="00F43EED">
              <w:rPr>
                <w:bCs/>
                <w:iCs/>
              </w:rPr>
              <w:t>За січень-квітень поточного року вироблено 1191,0 млн. кВт. год електроенергії, що на 47,4% менше рівня попереднього року.</w:t>
            </w:r>
          </w:p>
          <w:p w:rsidR="00E44867" w:rsidRPr="00F43EED" w:rsidRDefault="00E44867" w:rsidP="0000432A">
            <w:pPr>
              <w:suppressAutoHyphens/>
              <w:ind w:firstLine="459"/>
              <w:jc w:val="both"/>
              <w:rPr>
                <w:bCs/>
                <w:iCs/>
              </w:rPr>
            </w:pPr>
            <w:r w:rsidRPr="00F43EED">
              <w:rPr>
                <w:bCs/>
                <w:iCs/>
              </w:rPr>
              <w:t>У січні–березні 2016 року підприємствами області реалізовано промислової продукції (товарів, послуг) на суму 10773,4 млн. грн.</w:t>
            </w:r>
          </w:p>
          <w:p w:rsidR="00E44867" w:rsidRPr="00F43EED" w:rsidRDefault="00E44867" w:rsidP="0000432A">
            <w:pPr>
              <w:suppressAutoHyphens/>
              <w:ind w:firstLine="459"/>
              <w:jc w:val="both"/>
              <w:rPr>
                <w:bCs/>
                <w:iCs/>
              </w:rPr>
            </w:pPr>
            <w:r w:rsidRPr="00F43EED">
              <w:rPr>
                <w:bCs/>
                <w:iCs/>
              </w:rPr>
              <w:t>В структурі обсягів реалізованої промислової продукції найбільша частка (80,1%) припадає на переробну промисловість, з неї: 64,8% – на виробництво харчових продуктів, напоїв, 4,3% – на виготовлення виробів з деревини, виробництво паперу та поліграфічну діяльність, 2,8% – на виробництво хімічних речовин і хімічної продукції, 3,9% – на машинобудування та виробництво металевих виробів, крім машин і устаткування. Підприємствами з виробництва та постачання електроенергії, газу, пари та кондиційованого повітря реалізується 17,8% продукції.</w:t>
            </w:r>
          </w:p>
          <w:p w:rsidR="00870EE9" w:rsidRPr="00F43EED" w:rsidRDefault="00870EE9" w:rsidP="0000432A">
            <w:pPr>
              <w:suppressAutoHyphens/>
              <w:ind w:firstLine="459"/>
              <w:jc w:val="both"/>
              <w:rPr>
                <w:bCs/>
                <w:iCs/>
              </w:rPr>
            </w:pPr>
          </w:p>
        </w:tc>
      </w:tr>
      <w:tr w:rsidR="00CB796B" w:rsidRPr="00F43EED" w:rsidTr="0023057C">
        <w:trPr>
          <w:trHeight w:val="80"/>
        </w:trPr>
        <w:tc>
          <w:tcPr>
            <w:tcW w:w="10752" w:type="dxa"/>
            <w:gridSpan w:val="2"/>
            <w:tcBorders>
              <w:left w:val="nil"/>
              <w:right w:val="nil"/>
            </w:tcBorders>
          </w:tcPr>
          <w:p w:rsidR="00870EE9" w:rsidRPr="00F43EED" w:rsidRDefault="00870EE9" w:rsidP="00870EE9">
            <w:pPr>
              <w:tabs>
                <w:tab w:val="left" w:pos="3400"/>
                <w:tab w:val="center" w:pos="5191"/>
              </w:tabs>
              <w:snapToGrid w:val="0"/>
              <w:rPr>
                <w:b/>
              </w:rPr>
            </w:pPr>
          </w:p>
          <w:p w:rsidR="002A4EC4" w:rsidRPr="00F43EED" w:rsidRDefault="002A4EC4" w:rsidP="00CB796B">
            <w:pPr>
              <w:tabs>
                <w:tab w:val="left" w:pos="3400"/>
                <w:tab w:val="center" w:pos="5191"/>
              </w:tabs>
              <w:snapToGrid w:val="0"/>
              <w:jc w:val="center"/>
              <w:rPr>
                <w:b/>
              </w:rPr>
            </w:pPr>
            <w:r w:rsidRPr="00F43EED">
              <w:rPr>
                <w:b/>
              </w:rPr>
              <w:t>МАЛЕ ПІДПРИЄМНИЦТВО</w:t>
            </w:r>
          </w:p>
        </w:tc>
      </w:tr>
      <w:tr w:rsidR="00CB796B" w:rsidRPr="00F43EED" w:rsidTr="00184795">
        <w:trPr>
          <w:trHeight w:val="991"/>
        </w:trPr>
        <w:tc>
          <w:tcPr>
            <w:tcW w:w="1702" w:type="dxa"/>
            <w:tcBorders>
              <w:bottom w:val="single" w:sz="4" w:space="0" w:color="auto"/>
            </w:tcBorders>
          </w:tcPr>
          <w:p w:rsidR="002A4EC4" w:rsidRPr="00F43EED" w:rsidRDefault="002A4EC4" w:rsidP="00CB796B">
            <w:pPr>
              <w:pStyle w:val="32"/>
              <w:snapToGrid w:val="0"/>
              <w:spacing w:after="0"/>
              <w:rPr>
                <w:b/>
                <w:i/>
                <w:sz w:val="24"/>
                <w:szCs w:val="24"/>
              </w:rPr>
            </w:pPr>
            <w:r w:rsidRPr="00F43EED">
              <w:rPr>
                <w:b/>
                <w:i/>
                <w:sz w:val="24"/>
                <w:szCs w:val="24"/>
              </w:rPr>
              <w:t>Мале підприємництво</w:t>
            </w:r>
          </w:p>
        </w:tc>
        <w:tc>
          <w:tcPr>
            <w:tcW w:w="9050" w:type="dxa"/>
            <w:tcBorders>
              <w:bottom w:val="single" w:sz="4" w:space="0" w:color="auto"/>
            </w:tcBorders>
          </w:tcPr>
          <w:p w:rsidR="00E44867" w:rsidRPr="00F43EED" w:rsidRDefault="00E44867" w:rsidP="0000432A">
            <w:pPr>
              <w:suppressAutoHyphens/>
              <w:ind w:firstLine="459"/>
              <w:jc w:val="both"/>
            </w:pPr>
            <w:r w:rsidRPr="00F43EED">
              <w:t>За  даними моніторингу у січні-квітні 2016 року започаткували діяльність 2507 новостворених суб’єктів господарювання,  що на 17,0% більше  порівняно з відповідним періодом 2015 року, із яких 454 – юридичні особи (</w:t>
            </w:r>
            <w:r w:rsidRPr="00F43EED">
              <w:rPr>
                <w:i/>
              </w:rPr>
              <w:t>на 14,4% більше)</w:t>
            </w:r>
            <w:r w:rsidRPr="00F43EED">
              <w:t xml:space="preserve"> та 2053 – фізичних особи-підприємців </w:t>
            </w:r>
            <w:r w:rsidRPr="00F43EED">
              <w:rPr>
                <w:i/>
              </w:rPr>
              <w:t>(на 17,6% більше)</w:t>
            </w:r>
            <w:r w:rsidRPr="00F43EED">
              <w:t>.</w:t>
            </w:r>
          </w:p>
          <w:p w:rsidR="00E44867" w:rsidRPr="00F43EED" w:rsidRDefault="00E44867" w:rsidP="0000432A">
            <w:pPr>
              <w:suppressAutoHyphens/>
              <w:ind w:firstLine="459"/>
              <w:jc w:val="both"/>
            </w:pPr>
            <w:r w:rsidRPr="00F43EED">
              <w:t>Одночасно припинили господарську діяльність 2002 суб’єкти господарювання (104</w:t>
            </w:r>
            <w:r w:rsidRPr="00F43EED">
              <w:rPr>
                <w:i/>
              </w:rPr>
              <w:t xml:space="preserve"> – юридичні особи та  1898 – фізичних осіб-підприємців</w:t>
            </w:r>
            <w:r w:rsidRPr="00F43EED">
              <w:t xml:space="preserve">), що  </w:t>
            </w:r>
            <w:r w:rsidRPr="00F43EED">
              <w:rPr>
                <w:i/>
              </w:rPr>
              <w:t>в 3,2  рази  менше</w:t>
            </w:r>
            <w:r w:rsidRPr="00F43EED">
              <w:t xml:space="preserve"> порівняно з відповідним періодом 2015 року.</w:t>
            </w:r>
          </w:p>
          <w:p w:rsidR="00E44867" w:rsidRPr="00F43EED" w:rsidRDefault="00E44867" w:rsidP="0000432A">
            <w:pPr>
              <w:suppressAutoHyphens/>
              <w:ind w:firstLine="459"/>
              <w:jc w:val="both"/>
            </w:pPr>
            <w:r w:rsidRPr="00F43EED">
              <w:t xml:space="preserve">Найбільше новостворених суб’єктів господарювання  юридичних осіб в м. Вінниці  - 280, або 61,6 % від загальної кількості новостворених юридичних осіб, у </w:t>
            </w:r>
            <w:proofErr w:type="spellStart"/>
            <w:r w:rsidRPr="00F43EED">
              <w:t>Калинівському</w:t>
            </w:r>
            <w:proofErr w:type="spellEnd"/>
            <w:r w:rsidRPr="00F43EED">
              <w:t xml:space="preserve"> районі - 17, або 3,7%, у </w:t>
            </w:r>
            <w:proofErr w:type="spellStart"/>
            <w:r w:rsidRPr="00F43EED">
              <w:t>Липовецькому</w:t>
            </w:r>
            <w:proofErr w:type="spellEnd"/>
            <w:r w:rsidRPr="00F43EED">
              <w:t xml:space="preserve"> районі – 15, або 3,3%, Тростянецькому районі – 10, або 2,2%. </w:t>
            </w:r>
          </w:p>
          <w:p w:rsidR="00E44867" w:rsidRPr="00F43EED" w:rsidRDefault="00E44867" w:rsidP="0000432A">
            <w:pPr>
              <w:suppressAutoHyphens/>
              <w:ind w:firstLine="459"/>
              <w:jc w:val="both"/>
            </w:pPr>
            <w:r w:rsidRPr="00F43EED">
              <w:t xml:space="preserve">Найбільше новостворених фізичних осіб – підприємців: серед районів у Вінницькому (6,3% від загальної кількості  новостворених  фізичних  осіб -підприємців), </w:t>
            </w:r>
            <w:proofErr w:type="spellStart"/>
            <w:r w:rsidRPr="00F43EED">
              <w:t>Калинівському</w:t>
            </w:r>
            <w:proofErr w:type="spellEnd"/>
            <w:r w:rsidRPr="00F43EED">
              <w:t xml:space="preserve"> районі – 3,6%, Тульчинському районі – 3,2%, </w:t>
            </w:r>
            <w:r w:rsidRPr="00F43EED">
              <w:lastRenderedPageBreak/>
              <w:t xml:space="preserve">Барському районі – 2,5%. </w:t>
            </w:r>
          </w:p>
          <w:p w:rsidR="00E44867" w:rsidRPr="00F43EED" w:rsidRDefault="00E44867" w:rsidP="0000432A">
            <w:pPr>
              <w:suppressAutoHyphens/>
              <w:ind w:firstLine="459"/>
              <w:jc w:val="both"/>
            </w:pPr>
            <w:r w:rsidRPr="00F43EED">
              <w:t xml:space="preserve">Серед  міст обласного значення: у </w:t>
            </w:r>
            <w:proofErr w:type="spellStart"/>
            <w:r w:rsidRPr="00F43EED">
              <w:t>м.Вінниці</w:t>
            </w:r>
            <w:proofErr w:type="spellEnd"/>
            <w:r w:rsidRPr="00F43EED">
              <w:t xml:space="preserve"> - 41,4%,  </w:t>
            </w:r>
            <w:proofErr w:type="spellStart"/>
            <w:r w:rsidRPr="00F43EED">
              <w:t>м.Могилів</w:t>
            </w:r>
            <w:proofErr w:type="spellEnd"/>
            <w:r w:rsidRPr="00F43EED">
              <w:t>-Подільському – 2,6%.</w:t>
            </w:r>
          </w:p>
          <w:p w:rsidR="00E44867" w:rsidRPr="00F43EED" w:rsidRDefault="00E44867" w:rsidP="0000432A">
            <w:pPr>
              <w:suppressAutoHyphens/>
              <w:ind w:firstLine="459"/>
              <w:jc w:val="both"/>
            </w:pPr>
            <w:r w:rsidRPr="00F43EED">
              <w:t xml:space="preserve">Сума надходжень до бюджетів усіх рівнів від діяльності суб’єктів малого підприємництва у І кварталі 2016 року становить 463,2 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.,  або 36,4% від загальних обсягів надходжень, що на 38,8% більше ніж у відповідному періоді  2015 року. </w:t>
            </w:r>
          </w:p>
          <w:p w:rsidR="00E44867" w:rsidRPr="00F43EED" w:rsidRDefault="00E44867" w:rsidP="0000432A">
            <w:pPr>
              <w:suppressAutoHyphens/>
              <w:ind w:firstLine="459"/>
              <w:jc w:val="both"/>
            </w:pPr>
            <w:r w:rsidRPr="00F43EED">
              <w:t xml:space="preserve">Сума надходжень до місцевих бюджетів від діяльності суб’єктів малого підприємництва в порівнянні з І кварталом 2015 року  зросла на 29,4%, або на 58,0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і  становить   255,6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., а їх частка в загальній сумі надходжень до місцевого бюджету складає 29,3%. </w:t>
            </w:r>
          </w:p>
          <w:p w:rsidR="00E44867" w:rsidRPr="00F43EED" w:rsidRDefault="00E44867" w:rsidP="0000432A">
            <w:pPr>
              <w:suppressAutoHyphens/>
              <w:ind w:firstLine="459"/>
              <w:jc w:val="both"/>
            </w:pPr>
            <w:r w:rsidRPr="00F43EED">
              <w:t xml:space="preserve">Від суб’єктів малого підприємництва, які працювали за спрощеною системою оподаткування (єдиний податок), надходження до бюджету у  І кварталі 2016 року майже на 33,5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більше, ніж у І кварталі 2015 року і вони складають 111,4 </w:t>
            </w:r>
            <w:proofErr w:type="spellStart"/>
            <w:r w:rsidRPr="00F43EED">
              <w:t>млн.грн</w:t>
            </w:r>
            <w:proofErr w:type="spellEnd"/>
            <w:r w:rsidRPr="00F43EED">
              <w:t>., або 12,7% від загальної суми надходжень до місцевих бюджетів.</w:t>
            </w:r>
          </w:p>
          <w:p w:rsidR="002A4EC4" w:rsidRPr="00F43EED" w:rsidRDefault="002A4EC4" w:rsidP="0000432A">
            <w:pPr>
              <w:suppressAutoHyphens/>
              <w:ind w:firstLine="459"/>
              <w:jc w:val="both"/>
            </w:pPr>
          </w:p>
        </w:tc>
      </w:tr>
      <w:tr w:rsidR="00184795" w:rsidRPr="00F43EED" w:rsidTr="00184795">
        <w:trPr>
          <w:trHeight w:val="554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84795" w:rsidRPr="00F43EED" w:rsidRDefault="00184795" w:rsidP="00CB796B">
            <w:pPr>
              <w:pStyle w:val="32"/>
              <w:snapToGrid w:val="0"/>
              <w:spacing w:after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05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4795" w:rsidRPr="00F43EED" w:rsidRDefault="00184795" w:rsidP="00184795">
            <w:pPr>
              <w:suppressAutoHyphens/>
              <w:spacing w:after="240"/>
              <w:jc w:val="center"/>
            </w:pPr>
            <w:r w:rsidRPr="00F43EED">
              <w:rPr>
                <w:b/>
              </w:rPr>
              <w:t xml:space="preserve">ЗОВНІШНЬОТОРГОВЕЛЬНА ДІЯЛЬНІСТЬ </w:t>
            </w:r>
          </w:p>
        </w:tc>
      </w:tr>
      <w:tr w:rsidR="00184795" w:rsidRPr="00F43EED" w:rsidTr="008704F2">
        <w:trPr>
          <w:trHeight w:val="991"/>
        </w:trPr>
        <w:tc>
          <w:tcPr>
            <w:tcW w:w="1702" w:type="dxa"/>
            <w:tcBorders>
              <w:bottom w:val="single" w:sz="4" w:space="0" w:color="auto"/>
            </w:tcBorders>
          </w:tcPr>
          <w:p w:rsidR="00184795" w:rsidRPr="00F43EED" w:rsidRDefault="00184795" w:rsidP="00184795">
            <w:pPr>
              <w:pStyle w:val="32"/>
              <w:snapToGrid w:val="0"/>
              <w:spacing w:after="0"/>
              <w:rPr>
                <w:b/>
                <w:i/>
                <w:sz w:val="24"/>
                <w:szCs w:val="24"/>
              </w:rPr>
            </w:pPr>
            <w:r w:rsidRPr="00F43EED">
              <w:rPr>
                <w:b/>
                <w:i/>
                <w:sz w:val="24"/>
                <w:szCs w:val="24"/>
              </w:rPr>
              <w:t>Зовнішньоторговельна діяльність</w:t>
            </w:r>
          </w:p>
        </w:tc>
        <w:tc>
          <w:tcPr>
            <w:tcW w:w="9050" w:type="dxa"/>
            <w:tcBorders>
              <w:bottom w:val="single" w:sz="4" w:space="0" w:color="auto"/>
            </w:tcBorders>
          </w:tcPr>
          <w:p w:rsidR="00184795" w:rsidRPr="00F43EED" w:rsidRDefault="00184795" w:rsidP="0000432A">
            <w:pPr>
              <w:ind w:firstLine="459"/>
              <w:jc w:val="both"/>
            </w:pPr>
            <w:r w:rsidRPr="00F43EED">
              <w:t xml:space="preserve">За інформацією Головного управління статистики у Вінницькій області обсяги експорту </w:t>
            </w:r>
            <w:proofErr w:type="spellStart"/>
            <w:r w:rsidRPr="00F43EED">
              <w:t>товарівза</w:t>
            </w:r>
            <w:proofErr w:type="spellEnd"/>
            <w:r w:rsidRPr="00F43EED">
              <w:t xml:space="preserve"> січень-березень 2016р. становили 176,0 </w:t>
            </w:r>
            <w:proofErr w:type="spellStart"/>
            <w:r w:rsidRPr="00F43EED">
              <w:t>млн.дол</w:t>
            </w:r>
            <w:proofErr w:type="spellEnd"/>
            <w:r w:rsidRPr="00F43EED">
              <w:t xml:space="preserve">. США, а імпорту – 64,4млн.дол.США. Порівняно із І кварталом 2015р. експорт скоротився на 8,8% (на 17,0 </w:t>
            </w:r>
            <w:proofErr w:type="spellStart"/>
            <w:r w:rsidRPr="00F43EED">
              <w:t>млн.дол</w:t>
            </w:r>
            <w:proofErr w:type="spellEnd"/>
            <w:r w:rsidRPr="00F43EED">
              <w:t xml:space="preserve">.), а імпорт збільшився на 5,4% (на 3,3 </w:t>
            </w:r>
            <w:proofErr w:type="spellStart"/>
            <w:r w:rsidRPr="00F43EED">
              <w:t>млн.дол</w:t>
            </w:r>
            <w:proofErr w:type="spellEnd"/>
            <w:r w:rsidRPr="00F43EED">
              <w:t>.).</w:t>
            </w:r>
            <w:r w:rsidRPr="00F43EED">
              <w:rPr>
                <w:bCs/>
              </w:rPr>
              <w:t xml:space="preserve">Баланс зовнішньої торгівлі становить 111,6 </w:t>
            </w:r>
            <w:proofErr w:type="spellStart"/>
            <w:r w:rsidRPr="00F43EED">
              <w:rPr>
                <w:bCs/>
              </w:rPr>
              <w:t>млн.дол</w:t>
            </w:r>
            <w:proofErr w:type="spellEnd"/>
            <w:r w:rsidRPr="00F43EED">
              <w:rPr>
                <w:bCs/>
              </w:rPr>
              <w:t>., що засвідчує перевагу експортних операцій над імпортними.</w:t>
            </w:r>
          </w:p>
          <w:p w:rsidR="00184795" w:rsidRPr="00F43EED" w:rsidRDefault="00184795" w:rsidP="0000432A">
            <w:pPr>
              <w:ind w:firstLine="459"/>
              <w:jc w:val="both"/>
            </w:pPr>
            <w:r w:rsidRPr="00F43EED">
              <w:t>Коефіцієнт покриття експортом імпорту склав 2,73 (у січні–березні  2015р. – 3,16).</w:t>
            </w:r>
          </w:p>
          <w:p w:rsidR="00184795" w:rsidRPr="00F43EED" w:rsidRDefault="00184795" w:rsidP="0000432A">
            <w:pPr>
              <w:ind w:firstLine="459"/>
              <w:jc w:val="both"/>
              <w:rPr>
                <w:b/>
                <w:bCs/>
              </w:rPr>
            </w:pPr>
            <w:r w:rsidRPr="00F43EED">
              <w:t>Зовнішньоторговельні операції з товарами суб’єкти господарювання області здійснювали з партнерами із 98 країн світу.</w:t>
            </w:r>
          </w:p>
          <w:p w:rsidR="00184795" w:rsidRPr="00F43EED" w:rsidRDefault="00184795" w:rsidP="0000432A">
            <w:pPr>
              <w:suppressAutoHyphens/>
              <w:ind w:firstLine="459"/>
              <w:jc w:val="both"/>
            </w:pPr>
          </w:p>
        </w:tc>
      </w:tr>
      <w:tr w:rsidR="00184795" w:rsidRPr="00F43EED" w:rsidTr="008704F2">
        <w:trPr>
          <w:trHeight w:val="991"/>
        </w:trPr>
        <w:tc>
          <w:tcPr>
            <w:tcW w:w="1702" w:type="dxa"/>
            <w:tcBorders>
              <w:bottom w:val="single" w:sz="4" w:space="0" w:color="auto"/>
            </w:tcBorders>
          </w:tcPr>
          <w:p w:rsidR="00184795" w:rsidRPr="00F43EED" w:rsidRDefault="00184795" w:rsidP="006662D8">
            <w:pPr>
              <w:pStyle w:val="32"/>
              <w:snapToGrid w:val="0"/>
              <w:spacing w:after="0"/>
              <w:jc w:val="both"/>
              <w:rPr>
                <w:b/>
                <w:i/>
                <w:sz w:val="24"/>
                <w:szCs w:val="24"/>
              </w:rPr>
            </w:pPr>
            <w:r w:rsidRPr="00F43EED">
              <w:rPr>
                <w:b/>
                <w:bCs/>
                <w:i/>
                <w:sz w:val="24"/>
                <w:szCs w:val="24"/>
              </w:rPr>
              <w:t>Географічна структура експорту</w:t>
            </w:r>
            <w:r w:rsidR="006662D8" w:rsidRPr="00F43EED">
              <w:rPr>
                <w:b/>
                <w:bCs/>
                <w:i/>
                <w:sz w:val="24"/>
                <w:szCs w:val="24"/>
              </w:rPr>
              <w:t xml:space="preserve"> та імпорту</w:t>
            </w:r>
          </w:p>
        </w:tc>
        <w:tc>
          <w:tcPr>
            <w:tcW w:w="9050" w:type="dxa"/>
            <w:tcBorders>
              <w:bottom w:val="single" w:sz="4" w:space="0" w:color="auto"/>
            </w:tcBorders>
          </w:tcPr>
          <w:p w:rsidR="006662D8" w:rsidRPr="00F43EED" w:rsidRDefault="006662D8" w:rsidP="0000432A">
            <w:pPr>
              <w:suppressAutoHyphens/>
              <w:ind w:firstLine="459"/>
              <w:jc w:val="both"/>
            </w:pPr>
            <w:r w:rsidRPr="00F43EED">
              <w:t>В експорті товарів значна доля належить Китаю (13,2% загальних обсягів експорту), Індії (12,3%), Польщі (9,6%), Білорусі (7,0%), Румунії (6,5%), Туреччині (4,7%), Російській Федерації (4,0%), Нідерландам (3,7%), Італії (3,4%) та Німеччині (3,2%).</w:t>
            </w:r>
          </w:p>
          <w:p w:rsidR="006662D8" w:rsidRPr="00F43EED" w:rsidRDefault="006662D8" w:rsidP="0000432A">
            <w:pPr>
              <w:suppressAutoHyphens/>
              <w:ind w:firstLine="459"/>
              <w:jc w:val="both"/>
              <w:rPr>
                <w:rFonts w:ascii="Calibri" w:hAnsi="Calibri"/>
              </w:rPr>
            </w:pPr>
            <w:r w:rsidRPr="00F43EED">
              <w:t xml:space="preserve">В імпортних надходженнях найбільша частка припадає на Китай (13,4%), Німеччину (10,1%), Туреччину (8,8%), Польщу (8,2%), Румунію (7,4%), Російську Федерацію (7,1%), Іспанію (6,2%), США (6,1%), Італію (5,4%) та Білорусь (3,9%). </w:t>
            </w:r>
          </w:p>
          <w:p w:rsidR="00184795" w:rsidRPr="00F43EED" w:rsidRDefault="00184795" w:rsidP="0000432A">
            <w:pPr>
              <w:ind w:firstLine="459"/>
              <w:jc w:val="both"/>
            </w:pPr>
          </w:p>
        </w:tc>
      </w:tr>
      <w:tr w:rsidR="006662D8" w:rsidRPr="00F43EED" w:rsidTr="008704F2">
        <w:trPr>
          <w:trHeight w:val="991"/>
        </w:trPr>
        <w:tc>
          <w:tcPr>
            <w:tcW w:w="1702" w:type="dxa"/>
            <w:tcBorders>
              <w:bottom w:val="single" w:sz="4" w:space="0" w:color="auto"/>
            </w:tcBorders>
          </w:tcPr>
          <w:p w:rsidR="006662D8" w:rsidRPr="00F43EED" w:rsidRDefault="006662D8" w:rsidP="006662D8">
            <w:pPr>
              <w:jc w:val="both"/>
              <w:rPr>
                <w:b/>
                <w:i/>
              </w:rPr>
            </w:pPr>
            <w:r w:rsidRPr="00F43EED">
              <w:rPr>
                <w:b/>
                <w:i/>
              </w:rPr>
              <w:t>Товарна структура зовнішньої торгівлі товарами.</w:t>
            </w:r>
          </w:p>
          <w:p w:rsidR="006662D8" w:rsidRPr="00F43EED" w:rsidRDefault="006662D8" w:rsidP="006662D8">
            <w:pPr>
              <w:jc w:val="center"/>
              <w:rPr>
                <w:b/>
                <w:sz w:val="28"/>
                <w:szCs w:val="28"/>
              </w:rPr>
            </w:pPr>
          </w:p>
          <w:p w:rsidR="006662D8" w:rsidRPr="00F43EED" w:rsidRDefault="006662D8" w:rsidP="00184795">
            <w:pPr>
              <w:pStyle w:val="32"/>
              <w:snapToGrid w:val="0"/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50" w:type="dxa"/>
            <w:tcBorders>
              <w:bottom w:val="single" w:sz="4" w:space="0" w:color="auto"/>
            </w:tcBorders>
          </w:tcPr>
          <w:p w:rsidR="006662D8" w:rsidRPr="00701CDA" w:rsidRDefault="00E20811" w:rsidP="0000432A">
            <w:pPr>
              <w:suppressAutoHyphens/>
              <w:ind w:firstLine="459"/>
              <w:jc w:val="both"/>
            </w:pPr>
            <w:r w:rsidRPr="00701CDA">
              <w:t>Основу товарної структури зовнішньої торгівлі товарами складають жири та олії тваринного або рослинного походження, готові харчові продукти,  продукти рослинного походження.  Крім того, вагома частка належить продукції хімічної та пов’язаних з нею галузей промисловості, деревині та виробам з деревини і текстильним матеріалам та текстильним виробам.</w:t>
            </w:r>
          </w:p>
          <w:p w:rsidR="00E20811" w:rsidRPr="00F43EED" w:rsidRDefault="00E20811" w:rsidP="0000432A">
            <w:pPr>
              <w:suppressAutoHyphens/>
              <w:ind w:firstLine="459"/>
              <w:jc w:val="both"/>
            </w:pPr>
            <w:r w:rsidRPr="00F43EED">
              <w:t xml:space="preserve">Обсяг експорту товарів до країн-членів ЄС становив 67,1 </w:t>
            </w:r>
            <w:proofErr w:type="spellStart"/>
            <w:r w:rsidRPr="00F43EED">
              <w:t>млн.дол.США</w:t>
            </w:r>
            <w:proofErr w:type="spellEnd"/>
            <w:r w:rsidRPr="00F43EED">
              <w:t xml:space="preserve"> або 38,1% від загального обсягу експорту (у  І </w:t>
            </w:r>
            <w:proofErr w:type="spellStart"/>
            <w:r w:rsidRPr="00F43EED">
              <w:t>кв</w:t>
            </w:r>
            <w:proofErr w:type="spellEnd"/>
            <w:r w:rsidRPr="00F43EED">
              <w:t xml:space="preserve">. 2015р – 32,9 </w:t>
            </w:r>
            <w:proofErr w:type="spellStart"/>
            <w:r w:rsidRPr="00F43EED">
              <w:t>млн.дол.США</w:t>
            </w:r>
            <w:proofErr w:type="spellEnd"/>
            <w:r w:rsidRPr="00F43EED">
              <w:t xml:space="preserve">, або 36,5%) та збільшився порівняно з І кварталом 2015р. на 12,2%. Суттєво збільшився експорт до Франції (майже у 13 разів), Кіпру (у 6,3 рази), Угорщини (у 5,6 рази), Словенії (у 4 рази),  Естонії (у 3,9 рази), Чехії (у 3,4 рази), Румунії (у 2,9 рази), Бельгії (у 2,3 рази), Словаччини (у 2 рази). </w:t>
            </w:r>
          </w:p>
          <w:p w:rsidR="00E20811" w:rsidRPr="00701CDA" w:rsidRDefault="00E20811" w:rsidP="0000432A">
            <w:pPr>
              <w:suppressAutoHyphens/>
              <w:ind w:firstLine="459"/>
              <w:jc w:val="both"/>
              <w:rPr>
                <w:i/>
              </w:rPr>
            </w:pPr>
            <w:r w:rsidRPr="00F43EED">
              <w:t xml:space="preserve">Імпорт товарів із </w:t>
            </w:r>
            <w:r w:rsidRPr="00701CDA">
              <w:t xml:space="preserve">країн Європейського Союзу становив 32,1 </w:t>
            </w:r>
            <w:proofErr w:type="spellStart"/>
            <w:r w:rsidRPr="00701CDA">
              <w:t>млн.дол</w:t>
            </w:r>
            <w:proofErr w:type="spellEnd"/>
            <w:r w:rsidRPr="00701CDA">
              <w:t xml:space="preserve">., або 49,8% від загального обсягу (у січні–лютому 2015р. – 18,6 </w:t>
            </w:r>
            <w:proofErr w:type="spellStart"/>
            <w:r w:rsidRPr="00701CDA">
              <w:t>млн.дол</w:t>
            </w:r>
            <w:proofErr w:type="spellEnd"/>
            <w:r w:rsidRPr="00701CDA">
              <w:t>., або 51,9%) та зменшився проти січня–березня 2015р.на 1,5%. Скоротились поставки живих тварин та продуктів тваринного походження – на 80,9%, продуктів рослинного походження – на 63,5%.</w:t>
            </w:r>
          </w:p>
          <w:p w:rsidR="00E20811" w:rsidRPr="00F43EED" w:rsidRDefault="00E20811" w:rsidP="0000432A">
            <w:pPr>
              <w:suppressAutoHyphens/>
              <w:ind w:firstLine="459"/>
              <w:jc w:val="both"/>
              <w:rPr>
                <w:bCs/>
              </w:rPr>
            </w:pPr>
            <w:r w:rsidRPr="00F43EED">
              <w:rPr>
                <w:bCs/>
              </w:rPr>
              <w:t xml:space="preserve">Найбільша питома вага у загальному обсязі експорту належить м. Вінниці (70,8%). Ще 6 районів мають об’єми експорту від 1 до 10,0% від загального об’єму </w:t>
            </w:r>
            <w:r w:rsidRPr="00F43EED">
              <w:rPr>
                <w:bCs/>
              </w:rPr>
              <w:lastRenderedPageBreak/>
              <w:t xml:space="preserve">експорту: Вінницький (9,4%), </w:t>
            </w:r>
            <w:proofErr w:type="spellStart"/>
            <w:r w:rsidRPr="00F43EED">
              <w:rPr>
                <w:bCs/>
              </w:rPr>
              <w:t>Крижопільський</w:t>
            </w:r>
            <w:proofErr w:type="spellEnd"/>
            <w:r w:rsidRPr="00F43EED">
              <w:rPr>
                <w:bCs/>
              </w:rPr>
              <w:t xml:space="preserve"> (5,2%), Козятинський (2,5%), Тульчинський (2,3%), Чернівецький і </w:t>
            </w:r>
            <w:proofErr w:type="spellStart"/>
            <w:r w:rsidRPr="00F43EED">
              <w:rPr>
                <w:bCs/>
              </w:rPr>
              <w:t>Чечельницький</w:t>
            </w:r>
            <w:proofErr w:type="spellEnd"/>
            <w:r w:rsidRPr="00F43EED">
              <w:rPr>
                <w:bCs/>
              </w:rPr>
              <w:t xml:space="preserve"> (по 1,3%). Два райони – </w:t>
            </w:r>
            <w:proofErr w:type="spellStart"/>
            <w:r w:rsidRPr="00F43EED">
              <w:rPr>
                <w:bCs/>
              </w:rPr>
              <w:t>Оратівський</w:t>
            </w:r>
            <w:proofErr w:type="spellEnd"/>
            <w:r w:rsidRPr="00F43EED">
              <w:rPr>
                <w:bCs/>
              </w:rPr>
              <w:t xml:space="preserve"> і </w:t>
            </w:r>
            <w:proofErr w:type="spellStart"/>
            <w:r w:rsidRPr="00F43EED">
              <w:rPr>
                <w:bCs/>
              </w:rPr>
              <w:t>Погребищенський</w:t>
            </w:r>
            <w:proofErr w:type="spellEnd"/>
            <w:r w:rsidRPr="00F43EED">
              <w:rPr>
                <w:bCs/>
              </w:rPr>
              <w:t xml:space="preserve">  у 2016 році не експортували свою продукцію за межі України. Всі інші 24 суб’єкти зовнішньоекономічної діяльності (райони і міста обласного) значення мають питому вагу у загальному обсязі експорту менше 1,0%.  </w:t>
            </w:r>
          </w:p>
          <w:p w:rsidR="00E20811" w:rsidRPr="00F43EED" w:rsidRDefault="00E20811" w:rsidP="0000432A">
            <w:pPr>
              <w:suppressAutoHyphens/>
              <w:ind w:firstLine="459"/>
              <w:jc w:val="both"/>
            </w:pPr>
          </w:p>
        </w:tc>
      </w:tr>
      <w:tr w:rsidR="00CB796B" w:rsidRPr="00F43EED" w:rsidTr="0023057C">
        <w:trPr>
          <w:trHeight w:val="80"/>
        </w:trPr>
        <w:tc>
          <w:tcPr>
            <w:tcW w:w="10752" w:type="dxa"/>
            <w:gridSpan w:val="2"/>
            <w:tcBorders>
              <w:left w:val="nil"/>
              <w:right w:val="nil"/>
            </w:tcBorders>
          </w:tcPr>
          <w:p w:rsidR="00B553A7" w:rsidRPr="00F43EED" w:rsidRDefault="00B553A7" w:rsidP="00D919AB">
            <w:pPr>
              <w:pStyle w:val="32"/>
              <w:suppressAutoHyphens/>
              <w:spacing w:after="0"/>
              <w:ind w:firstLine="709"/>
              <w:jc w:val="center"/>
              <w:outlineLvl w:val="0"/>
              <w:rPr>
                <w:b/>
                <w:sz w:val="24"/>
                <w:szCs w:val="24"/>
              </w:rPr>
            </w:pPr>
          </w:p>
          <w:p w:rsidR="00B553A7" w:rsidRPr="00F43EED" w:rsidRDefault="00B553A7" w:rsidP="00D919AB">
            <w:pPr>
              <w:pStyle w:val="32"/>
              <w:suppressAutoHyphens/>
              <w:spacing w:after="0"/>
              <w:ind w:firstLine="709"/>
              <w:jc w:val="center"/>
              <w:outlineLvl w:val="0"/>
              <w:rPr>
                <w:sz w:val="24"/>
                <w:szCs w:val="24"/>
              </w:rPr>
            </w:pPr>
            <w:r w:rsidRPr="00F43EED">
              <w:rPr>
                <w:b/>
                <w:sz w:val="24"/>
                <w:szCs w:val="24"/>
              </w:rPr>
              <w:t>ІНВЕСТИЦІЙНА ДІЯЛЬНІСТЬ ТА ГРОШОВО-КРЕДИТНИЙ РИНОК</w:t>
            </w:r>
          </w:p>
        </w:tc>
      </w:tr>
      <w:tr w:rsidR="00B553A7" w:rsidRPr="00F43EED" w:rsidTr="00FE0937">
        <w:trPr>
          <w:trHeight w:val="274"/>
        </w:trPr>
        <w:tc>
          <w:tcPr>
            <w:tcW w:w="1702" w:type="dxa"/>
          </w:tcPr>
          <w:p w:rsidR="00B553A7" w:rsidRPr="00F43EED" w:rsidRDefault="00B553A7" w:rsidP="00CB796B">
            <w:pPr>
              <w:snapToGrid w:val="0"/>
              <w:jc w:val="both"/>
              <w:rPr>
                <w:b/>
                <w:i/>
                <w:iCs/>
              </w:rPr>
            </w:pPr>
            <w:r w:rsidRPr="00F43EED">
              <w:rPr>
                <w:b/>
                <w:i/>
                <w:iCs/>
              </w:rPr>
              <w:t xml:space="preserve">Розвиток </w:t>
            </w:r>
          </w:p>
          <w:p w:rsidR="00B553A7" w:rsidRPr="00F43EED" w:rsidRDefault="00B553A7" w:rsidP="00CB796B">
            <w:pPr>
              <w:jc w:val="both"/>
              <w:rPr>
                <w:b/>
                <w:i/>
                <w:iCs/>
              </w:rPr>
            </w:pPr>
            <w:r w:rsidRPr="00F43EED">
              <w:rPr>
                <w:b/>
                <w:i/>
                <w:iCs/>
              </w:rPr>
              <w:t xml:space="preserve">будівельної </w:t>
            </w:r>
          </w:p>
          <w:p w:rsidR="00B553A7" w:rsidRPr="00F43EED" w:rsidRDefault="00B553A7" w:rsidP="00CB796B">
            <w:pPr>
              <w:pStyle w:val="32"/>
              <w:spacing w:after="0"/>
              <w:rPr>
                <w:b/>
                <w:i/>
                <w:iCs/>
                <w:sz w:val="24"/>
                <w:szCs w:val="24"/>
              </w:rPr>
            </w:pPr>
            <w:r w:rsidRPr="00F43EED">
              <w:rPr>
                <w:b/>
                <w:i/>
                <w:iCs/>
                <w:sz w:val="24"/>
                <w:szCs w:val="24"/>
              </w:rPr>
              <w:t>справи</w:t>
            </w:r>
          </w:p>
        </w:tc>
        <w:tc>
          <w:tcPr>
            <w:tcW w:w="9050" w:type="dxa"/>
          </w:tcPr>
          <w:p w:rsidR="00E44867" w:rsidRPr="00F43EED" w:rsidRDefault="00E44867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 xml:space="preserve">Будівельними організаціями області за січень-квітень 2016 року виконані будівельні роботи на суму  458,5 млн. грн. </w:t>
            </w:r>
            <w:r w:rsidRPr="00F43EED">
              <w:rPr>
                <w:i/>
                <w:sz w:val="24"/>
                <w:szCs w:val="24"/>
              </w:rPr>
              <w:t>(10 місце серед регіонів України)</w:t>
            </w:r>
            <w:r w:rsidRPr="00F43EED">
              <w:rPr>
                <w:sz w:val="24"/>
                <w:szCs w:val="24"/>
              </w:rPr>
              <w:t xml:space="preserve">. </w:t>
            </w:r>
          </w:p>
          <w:p w:rsidR="00E44867" w:rsidRPr="00F43EED" w:rsidRDefault="00E44867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  <w:lang w:val="ru-RU"/>
              </w:rPr>
            </w:pPr>
            <w:r w:rsidRPr="00F43EED">
              <w:rPr>
                <w:sz w:val="24"/>
                <w:szCs w:val="24"/>
                <w:lang w:val="ru-RU"/>
              </w:rPr>
              <w:t xml:space="preserve">За характером </w:t>
            </w:r>
            <w:proofErr w:type="spellStart"/>
            <w:r w:rsidRPr="00F43EED">
              <w:rPr>
                <w:sz w:val="24"/>
                <w:szCs w:val="24"/>
                <w:lang w:val="ru-RU"/>
              </w:rPr>
              <w:t>будівництва</w:t>
            </w:r>
            <w:proofErr w:type="spellEnd"/>
            <w:r w:rsidRPr="00F43E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43EED">
              <w:rPr>
                <w:sz w:val="24"/>
                <w:szCs w:val="24"/>
                <w:lang w:val="ru-RU"/>
              </w:rPr>
              <w:t>обсяги</w:t>
            </w:r>
            <w:proofErr w:type="spellEnd"/>
            <w:r w:rsidRPr="00F43E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43EED">
              <w:rPr>
                <w:sz w:val="24"/>
                <w:szCs w:val="24"/>
                <w:lang w:val="ru-RU"/>
              </w:rPr>
              <w:t>робіт</w:t>
            </w:r>
            <w:proofErr w:type="spellEnd"/>
            <w:r w:rsidRPr="00F43E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43EED">
              <w:rPr>
                <w:sz w:val="24"/>
                <w:szCs w:val="24"/>
                <w:lang w:val="ru-RU"/>
              </w:rPr>
              <w:t>розподілились</w:t>
            </w:r>
            <w:proofErr w:type="spellEnd"/>
            <w:r w:rsidRPr="00F43EED">
              <w:rPr>
                <w:sz w:val="24"/>
                <w:szCs w:val="24"/>
                <w:lang w:val="ru-RU"/>
              </w:rPr>
              <w:t xml:space="preserve"> таким чином:</w:t>
            </w:r>
          </w:p>
          <w:p w:rsidR="00E44867" w:rsidRPr="00F43EED" w:rsidRDefault="00E44867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  <w:lang w:val="ru-RU"/>
              </w:rPr>
            </w:pPr>
            <w:r w:rsidRPr="00F43EED">
              <w:rPr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F43EED">
              <w:rPr>
                <w:sz w:val="24"/>
                <w:szCs w:val="24"/>
                <w:lang w:val="ru-RU"/>
              </w:rPr>
              <w:t>роботи</w:t>
            </w:r>
            <w:proofErr w:type="spellEnd"/>
            <w:r w:rsidRPr="00F43EED">
              <w:rPr>
                <w:sz w:val="24"/>
                <w:szCs w:val="24"/>
                <w:lang w:val="ru-RU"/>
              </w:rPr>
              <w:t xml:space="preserve"> з нового </w:t>
            </w:r>
            <w:proofErr w:type="spellStart"/>
            <w:r w:rsidRPr="00F43EED">
              <w:rPr>
                <w:sz w:val="24"/>
                <w:szCs w:val="24"/>
                <w:lang w:val="ru-RU"/>
              </w:rPr>
              <w:t>будівництва</w:t>
            </w:r>
            <w:proofErr w:type="spellEnd"/>
            <w:r w:rsidRPr="00F43EED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43EED">
              <w:rPr>
                <w:sz w:val="24"/>
                <w:szCs w:val="24"/>
                <w:lang w:val="ru-RU"/>
              </w:rPr>
              <w:t>реконструкції</w:t>
            </w:r>
            <w:proofErr w:type="spellEnd"/>
            <w:r w:rsidRPr="00F43EED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F43EED">
              <w:rPr>
                <w:sz w:val="24"/>
                <w:szCs w:val="24"/>
                <w:lang w:val="ru-RU"/>
              </w:rPr>
              <w:t>технічного</w:t>
            </w:r>
            <w:proofErr w:type="spellEnd"/>
            <w:r w:rsidRPr="00F43E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43EED">
              <w:rPr>
                <w:sz w:val="24"/>
                <w:szCs w:val="24"/>
                <w:lang w:val="ru-RU"/>
              </w:rPr>
              <w:t>переозброєння</w:t>
            </w:r>
            <w:proofErr w:type="spellEnd"/>
            <w:r w:rsidRPr="00F43EED">
              <w:rPr>
                <w:sz w:val="24"/>
                <w:szCs w:val="24"/>
                <w:lang w:val="ru-RU"/>
              </w:rPr>
              <w:t xml:space="preserve"> – 91,9% </w:t>
            </w:r>
            <w:proofErr w:type="spellStart"/>
            <w:r w:rsidRPr="00F43EED">
              <w:rPr>
                <w:sz w:val="24"/>
                <w:szCs w:val="24"/>
                <w:lang w:val="ru-RU"/>
              </w:rPr>
              <w:t>від</w:t>
            </w:r>
            <w:proofErr w:type="spellEnd"/>
            <w:r w:rsidRPr="00F43E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43EED">
              <w:rPr>
                <w:sz w:val="24"/>
                <w:szCs w:val="24"/>
                <w:lang w:val="ru-RU"/>
              </w:rPr>
              <w:t>загального</w:t>
            </w:r>
            <w:proofErr w:type="spellEnd"/>
            <w:r w:rsidRPr="00F43E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43EED">
              <w:rPr>
                <w:sz w:val="24"/>
                <w:szCs w:val="24"/>
                <w:lang w:val="ru-RU"/>
              </w:rPr>
              <w:t>обсягу</w:t>
            </w:r>
            <w:proofErr w:type="spellEnd"/>
            <w:r w:rsidRPr="00F43EED">
              <w:rPr>
                <w:sz w:val="24"/>
                <w:szCs w:val="24"/>
                <w:lang w:val="ru-RU"/>
              </w:rPr>
              <w:t>;</w:t>
            </w:r>
          </w:p>
          <w:p w:rsidR="00E44867" w:rsidRPr="00F43EED" w:rsidRDefault="00E44867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  <w:lang w:val="ru-RU"/>
              </w:rPr>
            </w:pPr>
            <w:r w:rsidRPr="00F43EED">
              <w:rPr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F43EED">
              <w:rPr>
                <w:sz w:val="24"/>
                <w:szCs w:val="24"/>
                <w:lang w:val="ru-RU"/>
              </w:rPr>
              <w:t>роботи</w:t>
            </w:r>
            <w:proofErr w:type="spellEnd"/>
            <w:r w:rsidRPr="00F43EED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F43EED">
              <w:rPr>
                <w:sz w:val="24"/>
                <w:szCs w:val="24"/>
                <w:lang w:val="ru-RU"/>
              </w:rPr>
              <w:t>капітального</w:t>
            </w:r>
            <w:proofErr w:type="spellEnd"/>
            <w:r w:rsidRPr="00F43EED">
              <w:rPr>
                <w:sz w:val="24"/>
                <w:szCs w:val="24"/>
                <w:lang w:val="ru-RU"/>
              </w:rPr>
              <w:t xml:space="preserve"> та </w:t>
            </w:r>
            <w:proofErr w:type="gramStart"/>
            <w:r w:rsidRPr="00F43EED">
              <w:rPr>
                <w:sz w:val="24"/>
                <w:szCs w:val="24"/>
                <w:lang w:val="ru-RU"/>
              </w:rPr>
              <w:t xml:space="preserve">поточного  </w:t>
            </w:r>
            <w:proofErr w:type="spellStart"/>
            <w:r w:rsidRPr="00F43EED">
              <w:rPr>
                <w:sz w:val="24"/>
                <w:szCs w:val="24"/>
                <w:lang w:val="ru-RU"/>
              </w:rPr>
              <w:t>ремонтів</w:t>
            </w:r>
            <w:proofErr w:type="spellEnd"/>
            <w:proofErr w:type="gramEnd"/>
            <w:r w:rsidRPr="00F43EED">
              <w:rPr>
                <w:sz w:val="24"/>
                <w:szCs w:val="24"/>
                <w:lang w:val="ru-RU"/>
              </w:rPr>
              <w:t xml:space="preserve"> – 4,3% та 3,8% </w:t>
            </w:r>
            <w:proofErr w:type="spellStart"/>
            <w:r w:rsidRPr="00F43EED">
              <w:rPr>
                <w:sz w:val="24"/>
                <w:szCs w:val="24"/>
                <w:lang w:val="ru-RU"/>
              </w:rPr>
              <w:t>відповідно</w:t>
            </w:r>
            <w:proofErr w:type="spellEnd"/>
            <w:r w:rsidRPr="00F43EED">
              <w:rPr>
                <w:sz w:val="24"/>
                <w:szCs w:val="24"/>
                <w:lang w:val="ru-RU"/>
              </w:rPr>
              <w:t>.</w:t>
            </w:r>
          </w:p>
          <w:p w:rsidR="00E44867" w:rsidRPr="00F43EED" w:rsidRDefault="00E44867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F43EED">
              <w:rPr>
                <w:sz w:val="24"/>
                <w:szCs w:val="24"/>
                <w:lang w:val="ru-RU"/>
              </w:rPr>
              <w:t>Обсяги</w:t>
            </w:r>
            <w:proofErr w:type="spellEnd"/>
            <w:r w:rsidRPr="00F43E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43EED">
              <w:rPr>
                <w:sz w:val="24"/>
                <w:szCs w:val="24"/>
                <w:lang w:val="ru-RU"/>
              </w:rPr>
              <w:t>виконаних</w:t>
            </w:r>
            <w:proofErr w:type="spellEnd"/>
            <w:r w:rsidRPr="00F43E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43EED">
              <w:rPr>
                <w:sz w:val="24"/>
                <w:szCs w:val="24"/>
                <w:lang w:val="ru-RU"/>
              </w:rPr>
              <w:t>будівельних</w:t>
            </w:r>
            <w:proofErr w:type="spellEnd"/>
            <w:r w:rsidRPr="00F43E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43EED">
              <w:rPr>
                <w:sz w:val="24"/>
                <w:szCs w:val="24"/>
                <w:lang w:val="ru-RU"/>
              </w:rPr>
              <w:t>робіт</w:t>
            </w:r>
            <w:proofErr w:type="spellEnd"/>
            <w:r w:rsidRPr="00F43EED">
              <w:rPr>
                <w:sz w:val="24"/>
                <w:szCs w:val="24"/>
                <w:lang w:val="ru-RU"/>
              </w:rPr>
              <w:t xml:space="preserve"> за видами </w:t>
            </w:r>
            <w:proofErr w:type="spellStart"/>
            <w:r w:rsidRPr="00F43EED">
              <w:rPr>
                <w:sz w:val="24"/>
                <w:szCs w:val="24"/>
                <w:lang w:val="ru-RU"/>
              </w:rPr>
              <w:t>будівельної</w:t>
            </w:r>
            <w:proofErr w:type="spellEnd"/>
            <w:r w:rsidRPr="00F43E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F43EED">
              <w:rPr>
                <w:sz w:val="24"/>
                <w:szCs w:val="24"/>
                <w:lang w:val="ru-RU"/>
              </w:rPr>
              <w:t>продукції</w:t>
            </w:r>
            <w:proofErr w:type="spellEnd"/>
            <w:r w:rsidRPr="00F43EED">
              <w:rPr>
                <w:sz w:val="24"/>
                <w:szCs w:val="24"/>
                <w:lang w:val="ru-RU"/>
              </w:rPr>
              <w:t xml:space="preserve">  становили</w:t>
            </w:r>
            <w:proofErr w:type="gramEnd"/>
            <w:r w:rsidR="00CD76F0">
              <w:rPr>
                <w:sz w:val="24"/>
                <w:szCs w:val="24"/>
                <w:lang w:val="ru-RU"/>
              </w:rPr>
              <w:t>:</w:t>
            </w:r>
          </w:p>
          <w:p w:rsidR="00E44867" w:rsidRPr="00F43EED" w:rsidRDefault="00E44867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  <w:lang w:val="ru-RU"/>
              </w:rPr>
            </w:pPr>
            <w:r w:rsidRPr="00F43EED">
              <w:rPr>
                <w:sz w:val="24"/>
                <w:szCs w:val="24"/>
                <w:lang w:val="ru-RU"/>
              </w:rPr>
              <w:t xml:space="preserve">- на </w:t>
            </w:r>
            <w:proofErr w:type="spellStart"/>
            <w:r w:rsidRPr="00F43EED">
              <w:rPr>
                <w:sz w:val="24"/>
                <w:szCs w:val="24"/>
                <w:lang w:val="ru-RU"/>
              </w:rPr>
              <w:t>будівництві</w:t>
            </w:r>
            <w:proofErr w:type="spellEnd"/>
            <w:r w:rsidRPr="00F43E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43EED">
              <w:rPr>
                <w:sz w:val="24"/>
                <w:szCs w:val="24"/>
                <w:lang w:val="ru-RU"/>
              </w:rPr>
              <w:t>будівель</w:t>
            </w:r>
            <w:proofErr w:type="spellEnd"/>
            <w:r w:rsidRPr="00F43EED">
              <w:rPr>
                <w:sz w:val="24"/>
                <w:szCs w:val="24"/>
                <w:lang w:val="ru-RU"/>
              </w:rPr>
              <w:t xml:space="preserve"> – 252,6 млн. грн., </w:t>
            </w:r>
            <w:proofErr w:type="spellStart"/>
            <w:r w:rsidRPr="00F43EED">
              <w:rPr>
                <w:sz w:val="24"/>
                <w:szCs w:val="24"/>
                <w:lang w:val="ru-RU"/>
              </w:rPr>
              <w:t>або</w:t>
            </w:r>
            <w:proofErr w:type="spellEnd"/>
            <w:r w:rsidRPr="00F43EED">
              <w:rPr>
                <w:sz w:val="24"/>
                <w:szCs w:val="24"/>
                <w:lang w:val="ru-RU"/>
              </w:rPr>
              <w:t xml:space="preserve"> 55,1% </w:t>
            </w:r>
            <w:proofErr w:type="spellStart"/>
            <w:r w:rsidRPr="00F43EED">
              <w:rPr>
                <w:sz w:val="24"/>
                <w:szCs w:val="24"/>
                <w:lang w:val="ru-RU"/>
              </w:rPr>
              <w:t>від</w:t>
            </w:r>
            <w:proofErr w:type="spellEnd"/>
            <w:r w:rsidRPr="00F43E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43EED">
              <w:rPr>
                <w:sz w:val="24"/>
                <w:szCs w:val="24"/>
                <w:lang w:val="ru-RU"/>
              </w:rPr>
              <w:t>загального</w:t>
            </w:r>
            <w:proofErr w:type="spellEnd"/>
            <w:r w:rsidRPr="00F43E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43EED">
              <w:rPr>
                <w:sz w:val="24"/>
                <w:szCs w:val="24"/>
                <w:lang w:val="ru-RU"/>
              </w:rPr>
              <w:t>обсягу</w:t>
            </w:r>
            <w:proofErr w:type="spellEnd"/>
            <w:r w:rsidRPr="00F43EED">
              <w:rPr>
                <w:sz w:val="24"/>
                <w:szCs w:val="24"/>
                <w:lang w:val="ru-RU"/>
              </w:rPr>
              <w:t>;</w:t>
            </w:r>
          </w:p>
          <w:p w:rsidR="00E44867" w:rsidRPr="00F43EED" w:rsidRDefault="00E44867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  <w:lang w:val="ru-RU"/>
              </w:rPr>
              <w:t xml:space="preserve">- на </w:t>
            </w:r>
            <w:proofErr w:type="spellStart"/>
            <w:r w:rsidRPr="00F43EED">
              <w:rPr>
                <w:sz w:val="24"/>
                <w:szCs w:val="24"/>
                <w:lang w:val="ru-RU"/>
              </w:rPr>
              <w:t>інженерних</w:t>
            </w:r>
            <w:proofErr w:type="spellEnd"/>
            <w:r w:rsidRPr="00F43E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43EED">
              <w:rPr>
                <w:sz w:val="24"/>
                <w:szCs w:val="24"/>
                <w:lang w:val="ru-RU"/>
              </w:rPr>
              <w:t>спорудах</w:t>
            </w:r>
            <w:proofErr w:type="spellEnd"/>
            <w:r w:rsidRPr="00F43EED">
              <w:rPr>
                <w:sz w:val="24"/>
                <w:szCs w:val="24"/>
                <w:lang w:val="ru-RU"/>
              </w:rPr>
              <w:t xml:space="preserve"> – 205,9 млн. грн.</w:t>
            </w:r>
            <w:proofErr w:type="gramStart"/>
            <w:r w:rsidRPr="00F43EED">
              <w:rPr>
                <w:sz w:val="24"/>
                <w:szCs w:val="24"/>
              </w:rPr>
              <w:t>,</w:t>
            </w:r>
            <w:r w:rsidRPr="00F43EED"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F43EED">
              <w:rPr>
                <w:sz w:val="24"/>
                <w:szCs w:val="24"/>
                <w:lang w:val="ru-RU"/>
              </w:rPr>
              <w:t>або</w:t>
            </w:r>
            <w:proofErr w:type="spellEnd"/>
            <w:proofErr w:type="gramEnd"/>
            <w:r w:rsidRPr="00F43EED">
              <w:rPr>
                <w:sz w:val="24"/>
                <w:szCs w:val="24"/>
                <w:lang w:val="ru-RU"/>
              </w:rPr>
              <w:t xml:space="preserve">  44,9 %.</w:t>
            </w:r>
          </w:p>
          <w:p w:rsidR="00E44867" w:rsidRPr="00F43EED" w:rsidRDefault="00E44867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>За даними Головного управління статистики</w:t>
            </w:r>
            <w:r w:rsidRPr="00F43EED">
              <w:rPr>
                <w:bCs/>
                <w:iCs/>
                <w:sz w:val="24"/>
                <w:szCs w:val="24"/>
              </w:rPr>
              <w:t xml:space="preserve"> у Вінницькій області </w:t>
            </w:r>
            <w:r w:rsidRPr="00F43EED">
              <w:rPr>
                <w:sz w:val="24"/>
                <w:szCs w:val="24"/>
              </w:rPr>
              <w:t xml:space="preserve">індекс будівельної продукції за січень - березень 2016 року становив  146,9 % </w:t>
            </w:r>
            <w:r w:rsidRPr="00F43EED">
              <w:rPr>
                <w:i/>
                <w:sz w:val="24"/>
                <w:szCs w:val="24"/>
              </w:rPr>
              <w:t>(3 місце серед регіонів України)</w:t>
            </w:r>
            <w:r w:rsidRPr="00F43EED">
              <w:rPr>
                <w:sz w:val="24"/>
                <w:szCs w:val="24"/>
              </w:rPr>
              <w:t>.</w:t>
            </w:r>
          </w:p>
          <w:p w:rsidR="00E44867" w:rsidRPr="00F43EED" w:rsidRDefault="00E44867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</w:p>
          <w:p w:rsidR="00E44867" w:rsidRPr="00F43EED" w:rsidRDefault="00E44867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>У січні-березні 2016 року підприємствами та організаціями області за рахунок усіх джерел фінансування освоєно 1060,4 млн. грн. капітальних інвестицій (15 місце серед регіонів України).</w:t>
            </w:r>
          </w:p>
          <w:p w:rsidR="00E44867" w:rsidRPr="00F43EED" w:rsidRDefault="00E44867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>У порівнянних цінах на 7,9 % менше від обсягу капітальних інвестицій за відповідний період попереднього року (23 місце серед регіонів України).</w:t>
            </w:r>
          </w:p>
          <w:p w:rsidR="00E44867" w:rsidRPr="00F43EED" w:rsidRDefault="00E44867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>Найвагомішу частку  капітальних інвестицій (98,9 % загального обсягу) освоєно в матеріальні активи, з яких:</w:t>
            </w:r>
          </w:p>
          <w:p w:rsidR="00E44867" w:rsidRPr="00F43EED" w:rsidRDefault="00E44867" w:rsidP="0000432A">
            <w:pPr>
              <w:pStyle w:val="33"/>
              <w:numPr>
                <w:ilvl w:val="0"/>
                <w:numId w:val="41"/>
              </w:numPr>
              <w:tabs>
                <w:tab w:val="left" w:pos="1026"/>
              </w:tabs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>у будівлі та споруди –  29,9 % усіх інвестицій;</w:t>
            </w:r>
          </w:p>
          <w:p w:rsidR="00E44867" w:rsidRPr="00F43EED" w:rsidRDefault="00E44867" w:rsidP="0000432A">
            <w:pPr>
              <w:pStyle w:val="33"/>
              <w:numPr>
                <w:ilvl w:val="0"/>
                <w:numId w:val="41"/>
              </w:numPr>
              <w:tabs>
                <w:tab w:val="left" w:pos="1026"/>
              </w:tabs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>у машини, обладнання та інвентар і транспортні засоби – 63,5 %.</w:t>
            </w:r>
          </w:p>
          <w:p w:rsidR="00E44867" w:rsidRPr="00F43EED" w:rsidRDefault="00E44867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 xml:space="preserve">Головним джерелом інвестування залишаються власні кошти підприємств та організацій, за рахунок яких освоєно 72,0 % загального обсягу капітальних інвестицій. </w:t>
            </w:r>
          </w:p>
          <w:p w:rsidR="00E44867" w:rsidRPr="00F43EED" w:rsidRDefault="00E44867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 xml:space="preserve">Частка запозичених коштів, за рахунок кредитів банків та інших позик, становила 4,2 %. </w:t>
            </w:r>
          </w:p>
          <w:p w:rsidR="00E44867" w:rsidRPr="00F43EED" w:rsidRDefault="00E44867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>Кошти населення на будівництво житла складають 17,4 % капітальних інвестицій.</w:t>
            </w:r>
          </w:p>
          <w:p w:rsidR="00E44867" w:rsidRPr="00F43EED" w:rsidRDefault="00E44867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>Кошти державного  бюджету – 0,4%,  місцевих бюджетів – 3,4%, інші джерела фінансування – 2,6 %.</w:t>
            </w:r>
          </w:p>
          <w:p w:rsidR="00E44867" w:rsidRPr="00F43EED" w:rsidRDefault="00E44867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>Капітальні інвестиції у житлові будівлі по містам та районам за січень – березень 2016 року становлять 206,8 млн. грн.</w:t>
            </w:r>
          </w:p>
          <w:p w:rsidR="00E44867" w:rsidRPr="00F43EED" w:rsidRDefault="00E44867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 xml:space="preserve">За січень-березень 2016 року прийнято в експлуатацію  43,5 тис. </w:t>
            </w:r>
            <w:proofErr w:type="spellStart"/>
            <w:r w:rsidRPr="00F43EED">
              <w:rPr>
                <w:sz w:val="24"/>
                <w:szCs w:val="24"/>
              </w:rPr>
              <w:t>кв</w:t>
            </w:r>
            <w:proofErr w:type="spellEnd"/>
            <w:r w:rsidRPr="00F43EED">
              <w:rPr>
                <w:sz w:val="24"/>
                <w:szCs w:val="24"/>
              </w:rPr>
              <w:t xml:space="preserve">. м загальної площі житла (14 місце серед регіонів України), у тому числі: </w:t>
            </w:r>
          </w:p>
          <w:p w:rsidR="00E44867" w:rsidRPr="00F43EED" w:rsidRDefault="00E44867" w:rsidP="0000432A">
            <w:pPr>
              <w:pStyle w:val="33"/>
              <w:numPr>
                <w:ilvl w:val="0"/>
                <w:numId w:val="45"/>
              </w:numPr>
              <w:tabs>
                <w:tab w:val="left" w:pos="1026"/>
              </w:tabs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 xml:space="preserve">у містах – 30,4 тис. </w:t>
            </w:r>
            <w:proofErr w:type="spellStart"/>
            <w:r w:rsidRPr="00F43EED">
              <w:rPr>
                <w:sz w:val="24"/>
                <w:szCs w:val="24"/>
              </w:rPr>
              <w:t>кв</w:t>
            </w:r>
            <w:proofErr w:type="spellEnd"/>
            <w:r w:rsidRPr="00F43EED">
              <w:rPr>
                <w:sz w:val="24"/>
                <w:szCs w:val="24"/>
              </w:rPr>
              <w:t>. м загальної площі (69,9 %);</w:t>
            </w:r>
          </w:p>
          <w:p w:rsidR="00E44867" w:rsidRPr="00F43EED" w:rsidRDefault="00E44867" w:rsidP="0000432A">
            <w:pPr>
              <w:pStyle w:val="33"/>
              <w:numPr>
                <w:ilvl w:val="0"/>
                <w:numId w:val="45"/>
              </w:numPr>
              <w:tabs>
                <w:tab w:val="left" w:pos="1026"/>
              </w:tabs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 xml:space="preserve">у сільській місцевості – 13,1 тис. </w:t>
            </w:r>
            <w:proofErr w:type="spellStart"/>
            <w:r w:rsidRPr="00F43EED">
              <w:rPr>
                <w:sz w:val="24"/>
                <w:szCs w:val="24"/>
              </w:rPr>
              <w:t>кв</w:t>
            </w:r>
            <w:proofErr w:type="spellEnd"/>
            <w:r w:rsidRPr="00F43EED">
              <w:rPr>
                <w:sz w:val="24"/>
                <w:szCs w:val="24"/>
              </w:rPr>
              <w:t xml:space="preserve">. м (30,1 %). </w:t>
            </w:r>
          </w:p>
          <w:p w:rsidR="00E44867" w:rsidRPr="00F43EED" w:rsidRDefault="00E44867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>Обсяги прийнятого в експлуатацію житла зменшилися порівняно з відповідним періодом  2015 року на 18,4 % (19 місце серед регіонів України).</w:t>
            </w:r>
          </w:p>
          <w:p w:rsidR="00E44867" w:rsidRPr="00F43EED" w:rsidRDefault="00E44867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 xml:space="preserve">Найбільше житла збудовано у </w:t>
            </w:r>
            <w:proofErr w:type="spellStart"/>
            <w:r w:rsidRPr="00F43EED">
              <w:rPr>
                <w:sz w:val="24"/>
                <w:szCs w:val="24"/>
              </w:rPr>
              <w:t>м.Вінниці</w:t>
            </w:r>
            <w:proofErr w:type="spellEnd"/>
            <w:r w:rsidRPr="00F43EED">
              <w:rPr>
                <w:sz w:val="24"/>
                <w:szCs w:val="24"/>
              </w:rPr>
              <w:t xml:space="preserve"> (35,2%). Ще у 6 регіонах (</w:t>
            </w:r>
            <w:proofErr w:type="spellStart"/>
            <w:r w:rsidRPr="00F43EED">
              <w:rPr>
                <w:sz w:val="24"/>
                <w:szCs w:val="24"/>
              </w:rPr>
              <w:t>м.Хмільнику</w:t>
            </w:r>
            <w:proofErr w:type="spellEnd"/>
            <w:r w:rsidRPr="00F43EED">
              <w:rPr>
                <w:sz w:val="24"/>
                <w:szCs w:val="24"/>
              </w:rPr>
              <w:t xml:space="preserve">, </w:t>
            </w:r>
            <w:proofErr w:type="spellStart"/>
            <w:r w:rsidRPr="00F43EED">
              <w:rPr>
                <w:sz w:val="24"/>
                <w:szCs w:val="24"/>
              </w:rPr>
              <w:t>м.Жмеринці</w:t>
            </w:r>
            <w:proofErr w:type="spellEnd"/>
            <w:r w:rsidRPr="00F43EED">
              <w:rPr>
                <w:sz w:val="24"/>
                <w:szCs w:val="24"/>
              </w:rPr>
              <w:t xml:space="preserve">, Вінницькому, </w:t>
            </w:r>
            <w:proofErr w:type="spellStart"/>
            <w:r w:rsidRPr="00F43EED">
              <w:rPr>
                <w:sz w:val="24"/>
                <w:szCs w:val="24"/>
              </w:rPr>
              <w:t>Калинівському</w:t>
            </w:r>
            <w:proofErr w:type="spellEnd"/>
            <w:r w:rsidRPr="00F43EED">
              <w:rPr>
                <w:sz w:val="24"/>
                <w:szCs w:val="24"/>
              </w:rPr>
              <w:t xml:space="preserve">, Барському, </w:t>
            </w:r>
            <w:proofErr w:type="spellStart"/>
            <w:r w:rsidRPr="00F43EED">
              <w:rPr>
                <w:sz w:val="24"/>
                <w:szCs w:val="24"/>
              </w:rPr>
              <w:t>Іллінецькому</w:t>
            </w:r>
            <w:proofErr w:type="spellEnd"/>
            <w:r w:rsidRPr="00F43EED">
              <w:rPr>
                <w:sz w:val="24"/>
                <w:szCs w:val="24"/>
              </w:rPr>
              <w:t xml:space="preserve">,  Гайсинському та </w:t>
            </w:r>
            <w:proofErr w:type="spellStart"/>
            <w:r w:rsidRPr="00F43EED">
              <w:rPr>
                <w:sz w:val="24"/>
                <w:szCs w:val="24"/>
              </w:rPr>
              <w:t>Літинському</w:t>
            </w:r>
            <w:proofErr w:type="spellEnd"/>
            <w:r w:rsidRPr="00F43EED">
              <w:rPr>
                <w:sz w:val="24"/>
                <w:szCs w:val="24"/>
              </w:rPr>
              <w:t xml:space="preserve"> районах) прийнято в експлуатацію 43,9% загального обсягу житла.</w:t>
            </w:r>
          </w:p>
          <w:p w:rsidR="00723ACF" w:rsidRPr="00F43EED" w:rsidRDefault="00E44867" w:rsidP="0000432A">
            <w:pPr>
              <w:suppressAutoHyphens/>
              <w:ind w:firstLine="459"/>
              <w:jc w:val="both"/>
              <w:rPr>
                <w:lang w:val="ru-RU"/>
              </w:rPr>
            </w:pPr>
            <w:r w:rsidRPr="00F43EED">
              <w:t>За рахунок коштів державного бюджету житлові будинки в експлуатацію не приймались.</w:t>
            </w:r>
          </w:p>
        </w:tc>
      </w:tr>
      <w:tr w:rsidR="00990799" w:rsidRPr="00F43EED" w:rsidTr="00967880">
        <w:trPr>
          <w:trHeight w:val="284"/>
        </w:trPr>
        <w:tc>
          <w:tcPr>
            <w:tcW w:w="1702" w:type="dxa"/>
            <w:tcBorders>
              <w:bottom w:val="single" w:sz="4" w:space="0" w:color="auto"/>
            </w:tcBorders>
          </w:tcPr>
          <w:p w:rsidR="00990799" w:rsidRPr="00F43EED" w:rsidRDefault="00990799" w:rsidP="00CB796B">
            <w:pPr>
              <w:pStyle w:val="32"/>
              <w:snapToGrid w:val="0"/>
              <w:spacing w:after="0"/>
              <w:rPr>
                <w:b/>
                <w:i/>
                <w:sz w:val="24"/>
                <w:szCs w:val="24"/>
              </w:rPr>
            </w:pPr>
            <w:r w:rsidRPr="00F43EED">
              <w:rPr>
                <w:b/>
                <w:i/>
                <w:sz w:val="24"/>
                <w:szCs w:val="24"/>
              </w:rPr>
              <w:t>Іноземне</w:t>
            </w:r>
          </w:p>
          <w:p w:rsidR="00990799" w:rsidRPr="00F43EED" w:rsidRDefault="00990799" w:rsidP="00CB796B">
            <w:pPr>
              <w:jc w:val="both"/>
              <w:rPr>
                <w:b/>
                <w:i/>
                <w:iCs/>
              </w:rPr>
            </w:pPr>
            <w:r w:rsidRPr="00F43EED">
              <w:rPr>
                <w:b/>
                <w:i/>
              </w:rPr>
              <w:t>інвестуван</w:t>
            </w:r>
            <w:r w:rsidRPr="00F43EED">
              <w:rPr>
                <w:b/>
                <w:i/>
                <w:iCs/>
              </w:rPr>
              <w:t>ня</w:t>
            </w:r>
          </w:p>
        </w:tc>
        <w:tc>
          <w:tcPr>
            <w:tcW w:w="9050" w:type="dxa"/>
            <w:tcBorders>
              <w:bottom w:val="single" w:sz="4" w:space="0" w:color="auto"/>
            </w:tcBorders>
          </w:tcPr>
          <w:p w:rsidR="00022AD0" w:rsidRPr="00F43EED" w:rsidRDefault="00022AD0" w:rsidP="0000432A">
            <w:pPr>
              <w:suppressAutoHyphens/>
              <w:ind w:firstLine="459"/>
              <w:contextualSpacing/>
              <w:jc w:val="both"/>
            </w:pPr>
            <w:r w:rsidRPr="00F43EED">
              <w:t xml:space="preserve">Обсяг прямих іноземних інвестицій(акціонерного капіталу) </w:t>
            </w:r>
            <w:r w:rsidR="00DB4D3E">
              <w:t>залучених</w:t>
            </w:r>
            <w:r w:rsidRPr="00F43EED">
              <w:br/>
              <w:t xml:space="preserve">в економіку області з початку інвестування на 1 квітня 2016р. становив  </w:t>
            </w:r>
            <w:r w:rsidRPr="00F43EED">
              <w:br/>
            </w:r>
            <w:r w:rsidRPr="00F43EED">
              <w:lastRenderedPageBreak/>
              <w:t xml:space="preserve">186,5 </w:t>
            </w:r>
            <w:proofErr w:type="spellStart"/>
            <w:r w:rsidRPr="00F43EED">
              <w:t>млн.дол</w:t>
            </w:r>
            <w:proofErr w:type="spellEnd"/>
            <w:r w:rsidRPr="00F43EED">
              <w:t>. США.</w:t>
            </w:r>
          </w:p>
          <w:p w:rsidR="00022AD0" w:rsidRPr="00F43EED" w:rsidRDefault="00022AD0" w:rsidP="0000432A">
            <w:pPr>
              <w:suppressAutoHyphens/>
              <w:ind w:firstLine="459"/>
              <w:contextualSpacing/>
              <w:jc w:val="both"/>
            </w:pPr>
            <w:r w:rsidRPr="00F43EED">
              <w:t xml:space="preserve">У січні–березні 2016р. в економіку області іноземними інвесторами вкладено 0,1 </w:t>
            </w:r>
            <w:proofErr w:type="spellStart"/>
            <w:r w:rsidRPr="00F43EED">
              <w:t>млн.дол</w:t>
            </w:r>
            <w:proofErr w:type="spellEnd"/>
            <w:r w:rsidRPr="00F43EED">
              <w:t xml:space="preserve">. США прямих інвестицій (акціонерного капіталу). Зменшення капіталу за цей період становить майже 1,0 </w:t>
            </w:r>
            <w:proofErr w:type="spellStart"/>
            <w:r w:rsidRPr="00F43EED">
              <w:t>млн.дол</w:t>
            </w:r>
            <w:proofErr w:type="spellEnd"/>
            <w:r w:rsidRPr="00F43EED">
              <w:t>. (</w:t>
            </w:r>
            <w:r w:rsidRPr="00656852">
              <w:rPr>
                <w:i/>
              </w:rPr>
              <w:t xml:space="preserve">у </w:t>
            </w:r>
            <w:proofErr w:type="spellStart"/>
            <w:r w:rsidRPr="00656852">
              <w:rPr>
                <w:i/>
              </w:rPr>
              <w:t>т.ч</w:t>
            </w:r>
            <w:proofErr w:type="spellEnd"/>
            <w:r w:rsidRPr="00656852">
              <w:rPr>
                <w:i/>
              </w:rPr>
              <w:t xml:space="preserve">. за рахунок курсової різниці – 0,9 </w:t>
            </w:r>
            <w:proofErr w:type="spellStart"/>
            <w:r w:rsidRPr="00656852">
              <w:rPr>
                <w:i/>
              </w:rPr>
              <w:t>млн.дол</w:t>
            </w:r>
            <w:proofErr w:type="spellEnd"/>
            <w:r w:rsidRPr="00656852">
              <w:rPr>
                <w:i/>
              </w:rPr>
              <w:t>.</w:t>
            </w:r>
            <w:r w:rsidRPr="00F43EED">
              <w:t>).</w:t>
            </w:r>
          </w:p>
          <w:p w:rsidR="00022AD0" w:rsidRDefault="00022AD0" w:rsidP="0000432A">
            <w:pPr>
              <w:suppressAutoHyphens/>
              <w:ind w:firstLine="459"/>
              <w:contextualSpacing/>
              <w:jc w:val="both"/>
            </w:pPr>
            <w:r w:rsidRPr="00F43EED">
              <w:t xml:space="preserve">Інвестиції надійшли з 50 країн світу. З країн ЄС з початку інвестування </w:t>
            </w:r>
            <w:proofErr w:type="spellStart"/>
            <w:r w:rsidRPr="00F43EED">
              <w:t>унесено</w:t>
            </w:r>
            <w:proofErr w:type="spellEnd"/>
            <w:r w:rsidRPr="00F43EED">
              <w:t xml:space="preserve"> 145,7 </w:t>
            </w:r>
            <w:proofErr w:type="spellStart"/>
            <w:r w:rsidRPr="00F43EED">
              <w:t>млн.дол</w:t>
            </w:r>
            <w:proofErr w:type="spellEnd"/>
            <w:r w:rsidRPr="00F43EED">
              <w:t>. інвестицій (78,1% загального обсягу акціонерного капіталу), з інших країн світу– 40,8 млн.</w:t>
            </w:r>
            <w:r w:rsidR="00656852">
              <w:t xml:space="preserve"> </w:t>
            </w:r>
            <w:proofErr w:type="spellStart"/>
            <w:r w:rsidR="00656852">
              <w:t>дол</w:t>
            </w:r>
            <w:proofErr w:type="spellEnd"/>
            <w:r w:rsidR="00656852">
              <w:t>. (21,9%).</w:t>
            </w:r>
          </w:p>
          <w:p w:rsidR="00656852" w:rsidRPr="00656852" w:rsidRDefault="00656852" w:rsidP="00656852">
            <w:pPr>
              <w:tabs>
                <w:tab w:val="left" w:pos="9639"/>
              </w:tabs>
              <w:spacing w:line="264" w:lineRule="auto"/>
              <w:ind w:right="71" w:firstLine="459"/>
              <w:jc w:val="both"/>
            </w:pPr>
            <w:r w:rsidRPr="00656852">
              <w:t xml:space="preserve">До п’ятірки основних країн-інвесторів, на які припадає 67,9% загального обсягу прямих інвестицій, входять: Кіпр – 38,0 </w:t>
            </w:r>
            <w:proofErr w:type="spellStart"/>
            <w:r w:rsidRPr="00656852">
              <w:t>млн.дол</w:t>
            </w:r>
            <w:proofErr w:type="spellEnd"/>
            <w:r w:rsidRPr="00656852">
              <w:t xml:space="preserve">., Австрія – 31,8 </w:t>
            </w:r>
            <w:proofErr w:type="spellStart"/>
            <w:r w:rsidRPr="00656852">
              <w:t>млн.дол</w:t>
            </w:r>
            <w:proofErr w:type="spellEnd"/>
            <w:r w:rsidRPr="00656852">
              <w:t xml:space="preserve">., Франція – 28,4 </w:t>
            </w:r>
            <w:proofErr w:type="spellStart"/>
            <w:r w:rsidRPr="00656852">
              <w:t>млн.дол</w:t>
            </w:r>
            <w:proofErr w:type="spellEnd"/>
            <w:r w:rsidRPr="00656852">
              <w:t xml:space="preserve">., Німеччина – 15,7 </w:t>
            </w:r>
            <w:proofErr w:type="spellStart"/>
            <w:r w:rsidRPr="00656852">
              <w:t>млн.дол</w:t>
            </w:r>
            <w:proofErr w:type="spellEnd"/>
            <w:r w:rsidRPr="00656852">
              <w:t xml:space="preserve">., Польща – 12,9 </w:t>
            </w:r>
            <w:proofErr w:type="spellStart"/>
            <w:r w:rsidRPr="00656852">
              <w:t>млн.дол</w:t>
            </w:r>
            <w:proofErr w:type="spellEnd"/>
            <w:r w:rsidRPr="00656852">
              <w:t>.</w:t>
            </w:r>
          </w:p>
          <w:p w:rsidR="00656852" w:rsidRPr="00F43EED" w:rsidRDefault="00656852" w:rsidP="0000432A">
            <w:pPr>
              <w:suppressAutoHyphens/>
              <w:ind w:firstLine="459"/>
              <w:contextualSpacing/>
              <w:jc w:val="both"/>
            </w:pPr>
            <w:r w:rsidRPr="00656852">
              <w:t xml:space="preserve">На підприємствах промисловості зосереджено 125,2 </w:t>
            </w:r>
            <w:proofErr w:type="spellStart"/>
            <w:r w:rsidRPr="00656852">
              <w:t>млн.дол</w:t>
            </w:r>
            <w:proofErr w:type="spellEnd"/>
            <w:r w:rsidRPr="00656852">
              <w:t xml:space="preserve">. (67,1%) загального обсягу прямих інвестицій в область, у </w:t>
            </w:r>
            <w:proofErr w:type="spellStart"/>
            <w:r w:rsidRPr="00656852">
              <w:t>т.ч</w:t>
            </w:r>
            <w:proofErr w:type="spellEnd"/>
            <w:r w:rsidRPr="00656852">
              <w:t xml:space="preserve">. переробної – 108,7 </w:t>
            </w:r>
            <w:proofErr w:type="spellStart"/>
            <w:r w:rsidRPr="00656852">
              <w:t>млн.дол</w:t>
            </w:r>
            <w:proofErr w:type="spellEnd"/>
            <w:r w:rsidRPr="00656852">
              <w:t xml:space="preserve">. та добувної промисловості і розроблення кар’єрів – 15,9 </w:t>
            </w:r>
            <w:proofErr w:type="spellStart"/>
            <w:r w:rsidRPr="00656852">
              <w:t>млн.дол</w:t>
            </w:r>
            <w:proofErr w:type="spellEnd"/>
            <w:r w:rsidRPr="00656852">
              <w:t>.</w:t>
            </w:r>
          </w:p>
          <w:p w:rsidR="00022AD0" w:rsidRPr="00F43EED" w:rsidRDefault="00022AD0" w:rsidP="0000432A">
            <w:pPr>
              <w:suppressAutoHyphens/>
              <w:ind w:firstLine="459"/>
              <w:contextualSpacing/>
              <w:jc w:val="both"/>
            </w:pPr>
            <w:r w:rsidRPr="00F43EED">
              <w:t xml:space="preserve">Інвестиційно привабливою протягом усього періоду інвестування залишається харчова промисловість, де зосереджено 55,4 </w:t>
            </w:r>
            <w:proofErr w:type="spellStart"/>
            <w:r w:rsidRPr="00F43EED">
              <w:t>млн.дол</w:t>
            </w:r>
            <w:proofErr w:type="spellEnd"/>
            <w:r w:rsidRPr="00F43EED">
              <w:t xml:space="preserve">. Також сталою є зацікавленість інвесторів до таких видів економічної діяльності, як: сільське, лісове та рибне господарство– 24,9млн.дол., виготовлення виробів з деревини, виробництво паперу та поліграфічна діяльність – 26,5 </w:t>
            </w:r>
            <w:proofErr w:type="spellStart"/>
            <w:r w:rsidRPr="00F43EED">
              <w:t>млн.дол</w:t>
            </w:r>
            <w:proofErr w:type="spellEnd"/>
            <w:r w:rsidRPr="00F43EED">
              <w:t>., виробництво хімічних речовин і хімічної продукції – 15,6млн.дол.</w:t>
            </w:r>
          </w:p>
          <w:p w:rsidR="00656852" w:rsidRDefault="00022AD0" w:rsidP="0000432A">
            <w:pPr>
              <w:suppressAutoHyphens/>
              <w:ind w:firstLine="459"/>
              <w:contextualSpacing/>
              <w:jc w:val="both"/>
            </w:pPr>
            <w:r w:rsidRPr="00F43EED">
              <w:t xml:space="preserve">Вагому частку (45,6%) іноземного капіталу зосереджено у </w:t>
            </w:r>
            <w:proofErr w:type="spellStart"/>
            <w:r w:rsidRPr="00F43EED">
              <w:t>м.Вінниці</w:t>
            </w:r>
            <w:proofErr w:type="spellEnd"/>
            <w:r w:rsidRPr="00F43EED">
              <w:t xml:space="preserve"> – </w:t>
            </w:r>
            <w:r w:rsidRPr="00F43EED">
              <w:br/>
              <w:t xml:space="preserve">85,1 </w:t>
            </w:r>
            <w:proofErr w:type="spellStart"/>
            <w:r w:rsidRPr="00F43EED">
              <w:t>млн.дол</w:t>
            </w:r>
            <w:proofErr w:type="spellEnd"/>
            <w:r w:rsidRPr="00F43EED">
              <w:t xml:space="preserve">. Також, значні обсяги іноземних інвестицій зосереджено у Козятинському районі – 18,8 </w:t>
            </w:r>
            <w:proofErr w:type="spellStart"/>
            <w:r w:rsidRPr="00F43EED">
              <w:t>млн.дол</w:t>
            </w:r>
            <w:proofErr w:type="spellEnd"/>
            <w:r w:rsidRPr="00F43EED">
              <w:t xml:space="preserve">. (10,1%), </w:t>
            </w:r>
            <w:proofErr w:type="spellStart"/>
            <w:r w:rsidRPr="00F43EED">
              <w:t>Немирівському</w:t>
            </w:r>
            <w:proofErr w:type="spellEnd"/>
            <w:r w:rsidRPr="00F43EED">
              <w:t xml:space="preserve"> – 14,4 </w:t>
            </w:r>
            <w:proofErr w:type="spellStart"/>
            <w:r w:rsidRPr="00F43EED">
              <w:t>млн.дол</w:t>
            </w:r>
            <w:proofErr w:type="spellEnd"/>
            <w:r w:rsidRPr="00F43EED">
              <w:t xml:space="preserve">. (7,7%) та Барському – 9,0 </w:t>
            </w:r>
            <w:proofErr w:type="spellStart"/>
            <w:r w:rsidRPr="00F43EED">
              <w:t>млн.дол</w:t>
            </w:r>
            <w:proofErr w:type="spellEnd"/>
            <w:r w:rsidRPr="00F43EED">
              <w:t xml:space="preserve">. (4,8%). Серед інших регіонів області провідні місця за обсягами іноземних інвестицій утримують: </w:t>
            </w:r>
            <w:proofErr w:type="spellStart"/>
            <w:r w:rsidRPr="00F43EED">
              <w:t>м.Ладижин</w:t>
            </w:r>
            <w:proofErr w:type="spellEnd"/>
            <w:r w:rsidRPr="00F43EED">
              <w:t xml:space="preserve">, </w:t>
            </w:r>
            <w:proofErr w:type="spellStart"/>
            <w:r w:rsidRPr="00F43EED">
              <w:t>м.Козятин</w:t>
            </w:r>
            <w:proofErr w:type="spellEnd"/>
            <w:r w:rsidRPr="00F43EED">
              <w:t xml:space="preserve"> та </w:t>
            </w:r>
            <w:proofErr w:type="spellStart"/>
            <w:r w:rsidRPr="00F43EED">
              <w:t>Липовецький</w:t>
            </w:r>
            <w:proofErr w:type="spellEnd"/>
            <w:r w:rsidRPr="00F43EED">
              <w:t xml:space="preserve">, Тульчинський, </w:t>
            </w:r>
            <w:proofErr w:type="spellStart"/>
            <w:r w:rsidRPr="00F43EED">
              <w:t>Тиврівський</w:t>
            </w:r>
            <w:proofErr w:type="spellEnd"/>
            <w:r w:rsidRPr="00F43EED">
              <w:t>, Вінницький райони.</w:t>
            </w:r>
          </w:p>
          <w:p w:rsidR="00E97521" w:rsidRPr="00F43EED" w:rsidRDefault="00E97521" w:rsidP="00656852">
            <w:pPr>
              <w:suppressAutoHyphens/>
              <w:ind w:firstLine="459"/>
              <w:contextualSpacing/>
              <w:jc w:val="both"/>
              <w:rPr>
                <w:lang w:eastAsia="ru-RU"/>
              </w:rPr>
            </w:pPr>
          </w:p>
        </w:tc>
      </w:tr>
      <w:tr w:rsidR="00921422" w:rsidRPr="00F43EED" w:rsidTr="00E20811">
        <w:trPr>
          <w:trHeight w:val="849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21422" w:rsidRPr="00F43EED" w:rsidRDefault="00921422" w:rsidP="00CB796B">
            <w:pPr>
              <w:pStyle w:val="afb"/>
              <w:snapToGrid w:val="0"/>
              <w:jc w:val="left"/>
              <w:rPr>
                <w:i/>
                <w:iCs/>
              </w:rPr>
            </w:pPr>
            <w:r w:rsidRPr="00F43EED">
              <w:rPr>
                <w:i/>
              </w:rPr>
              <w:lastRenderedPageBreak/>
              <w:t>Готівковий обіг</w:t>
            </w:r>
          </w:p>
        </w:tc>
        <w:tc>
          <w:tcPr>
            <w:tcW w:w="90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20811" w:rsidRPr="00F43EED" w:rsidRDefault="00E20811" w:rsidP="0000432A">
            <w:pPr>
              <w:suppressAutoHyphens/>
              <w:ind w:firstLine="459"/>
              <w:jc w:val="both"/>
            </w:pPr>
            <w:r w:rsidRPr="00F43EED">
              <w:t>Стан готівкового обігу за січень</w:t>
            </w:r>
            <w:r w:rsidRPr="00F43EED">
              <w:rPr>
                <w:lang w:val="ru-RU"/>
              </w:rPr>
              <w:t>-</w:t>
            </w:r>
            <w:r w:rsidRPr="00F43EED">
              <w:t>квітень 2016 року в порівнянні з аналогічним періодом минулого року в цілому по області характеризувався ростом як надходжень готівки до кас банківських  установ так і видач із них.</w:t>
            </w:r>
          </w:p>
          <w:p w:rsidR="00E20811" w:rsidRPr="00F43EED" w:rsidRDefault="00E20811" w:rsidP="0000432A">
            <w:pPr>
              <w:suppressAutoHyphens/>
              <w:ind w:firstLine="459"/>
              <w:jc w:val="both"/>
            </w:pPr>
            <w:r w:rsidRPr="00F43EED">
              <w:t xml:space="preserve">Відповідно до даних Представництва Національного банку України у Вінницькій області обсяги надходжень готівки до кас банків за січень-квітень 2016 року склали 13,85 </w:t>
            </w:r>
            <w:proofErr w:type="spellStart"/>
            <w:r w:rsidRPr="00F43EED">
              <w:t>млрд.грн</w:t>
            </w:r>
            <w:proofErr w:type="spellEnd"/>
            <w:r w:rsidRPr="00F43EED">
              <w:t xml:space="preserve">., що на 1363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., або на 11% перевищує показники січня-березня 2015 року. </w:t>
            </w:r>
          </w:p>
          <w:p w:rsidR="00E20811" w:rsidRPr="00F43EED" w:rsidRDefault="00E20811" w:rsidP="0000432A">
            <w:pPr>
              <w:suppressAutoHyphens/>
              <w:ind w:firstLine="459"/>
              <w:jc w:val="both"/>
            </w:pPr>
            <w:r w:rsidRPr="00F43EED">
              <w:t xml:space="preserve">В розрізі статей, надходження готівки склали: торговельна виручка - 5,25 </w:t>
            </w:r>
            <w:proofErr w:type="spellStart"/>
            <w:r w:rsidRPr="00F43EED">
              <w:t>млрд.грн</w:t>
            </w:r>
            <w:proofErr w:type="spellEnd"/>
            <w:r w:rsidRPr="00F43EED">
              <w:t xml:space="preserve">. </w:t>
            </w:r>
            <w:r w:rsidRPr="00F43EED">
              <w:rPr>
                <w:i/>
              </w:rPr>
              <w:t xml:space="preserve">(на 100 </w:t>
            </w:r>
            <w:proofErr w:type="spellStart"/>
            <w:r w:rsidRPr="00F43EED">
              <w:rPr>
                <w:i/>
              </w:rPr>
              <w:t>млн.грн</w:t>
            </w:r>
            <w:proofErr w:type="spellEnd"/>
            <w:r w:rsidRPr="00F43EED">
              <w:rPr>
                <w:i/>
              </w:rPr>
              <w:t>., або на 2% більше, ніж у відповідному періоді 2015 року);</w:t>
            </w:r>
            <w:r w:rsidRPr="00F43EED">
              <w:t xml:space="preserve"> з використанням платіжних карток - 4,6 </w:t>
            </w:r>
            <w:proofErr w:type="spellStart"/>
            <w:r w:rsidRPr="00F43EED">
              <w:t>млрд.грн</w:t>
            </w:r>
            <w:proofErr w:type="spellEnd"/>
            <w:r w:rsidRPr="00F43EED">
              <w:t>. (</w:t>
            </w:r>
            <w:r w:rsidRPr="00F43EED">
              <w:rPr>
                <w:i/>
              </w:rPr>
              <w:t xml:space="preserve">відповідно на 832 </w:t>
            </w:r>
            <w:proofErr w:type="spellStart"/>
            <w:r w:rsidRPr="00F43EED">
              <w:rPr>
                <w:i/>
              </w:rPr>
              <w:t>млн.грн</w:t>
            </w:r>
            <w:proofErr w:type="spellEnd"/>
            <w:r w:rsidRPr="00F43EED">
              <w:rPr>
                <w:i/>
              </w:rPr>
              <w:t>., або на 22% більше</w:t>
            </w:r>
            <w:r w:rsidRPr="00F43EED">
              <w:t xml:space="preserve">); на рахунки за вкладами фізичних осіб – 1,27 </w:t>
            </w:r>
            <w:proofErr w:type="spellStart"/>
            <w:r w:rsidRPr="00F43EED">
              <w:t>млрд.грн</w:t>
            </w:r>
            <w:proofErr w:type="spellEnd"/>
            <w:r w:rsidRPr="00F43EED">
              <w:t xml:space="preserve">. </w:t>
            </w:r>
            <w:r w:rsidRPr="00F43EED">
              <w:rPr>
                <w:i/>
              </w:rPr>
              <w:t xml:space="preserve">(відповідно на 265 </w:t>
            </w:r>
            <w:proofErr w:type="spellStart"/>
            <w:r w:rsidRPr="00F43EED">
              <w:rPr>
                <w:i/>
              </w:rPr>
              <w:t>млн.грн</w:t>
            </w:r>
            <w:proofErr w:type="spellEnd"/>
            <w:r w:rsidRPr="00F43EED">
              <w:rPr>
                <w:i/>
              </w:rPr>
              <w:t>., або на 26% більше);</w:t>
            </w:r>
            <w:r w:rsidRPr="00F43EED">
              <w:t xml:space="preserve"> від усіх видів платних послуг – 1,11 </w:t>
            </w:r>
            <w:proofErr w:type="spellStart"/>
            <w:r w:rsidRPr="00F43EED">
              <w:t>млрд.грн</w:t>
            </w:r>
            <w:proofErr w:type="spellEnd"/>
            <w:r w:rsidRPr="00F43EED">
              <w:t>. (</w:t>
            </w:r>
            <w:r w:rsidRPr="00F43EED">
              <w:rPr>
                <w:i/>
              </w:rPr>
              <w:t xml:space="preserve">відповідно на 160 </w:t>
            </w:r>
            <w:proofErr w:type="spellStart"/>
            <w:r w:rsidRPr="00F43EED">
              <w:rPr>
                <w:i/>
              </w:rPr>
              <w:t>млн.грн</w:t>
            </w:r>
            <w:proofErr w:type="spellEnd"/>
            <w:r w:rsidRPr="00F43EED">
              <w:rPr>
                <w:i/>
              </w:rPr>
              <w:t>., або на 17% більше</w:t>
            </w:r>
            <w:r w:rsidRPr="00F43EED">
              <w:t xml:space="preserve">); в погашення кредитів - 191 </w:t>
            </w:r>
            <w:proofErr w:type="spellStart"/>
            <w:r w:rsidRPr="00F43EED">
              <w:t>млн.грн</w:t>
            </w:r>
            <w:proofErr w:type="spellEnd"/>
            <w:r w:rsidRPr="00F43EED">
              <w:t>. (</w:t>
            </w:r>
            <w:r w:rsidRPr="00F43EED">
              <w:rPr>
                <w:i/>
              </w:rPr>
              <w:t xml:space="preserve">на 17 </w:t>
            </w:r>
            <w:proofErr w:type="spellStart"/>
            <w:r w:rsidRPr="00F43EED">
              <w:rPr>
                <w:i/>
              </w:rPr>
              <w:t>млн.грн</w:t>
            </w:r>
            <w:proofErr w:type="spellEnd"/>
            <w:r w:rsidRPr="00F43EED">
              <w:rPr>
                <w:i/>
              </w:rPr>
              <w:t>., або на 8% менше)</w:t>
            </w:r>
            <w:r w:rsidRPr="00F43EED">
              <w:t xml:space="preserve"> від продажу іноземної валюти - 85 </w:t>
            </w:r>
            <w:proofErr w:type="spellStart"/>
            <w:r w:rsidRPr="00F43EED">
              <w:t>млн.грн</w:t>
            </w:r>
            <w:proofErr w:type="spellEnd"/>
            <w:r w:rsidRPr="00F43EED">
              <w:t>. (</w:t>
            </w:r>
            <w:r w:rsidRPr="00F43EED">
              <w:rPr>
                <w:i/>
              </w:rPr>
              <w:t xml:space="preserve">на 15 </w:t>
            </w:r>
            <w:proofErr w:type="spellStart"/>
            <w:r w:rsidRPr="00F43EED">
              <w:rPr>
                <w:i/>
              </w:rPr>
              <w:t>млн.грн</w:t>
            </w:r>
            <w:proofErr w:type="spellEnd"/>
            <w:r w:rsidRPr="00F43EED">
              <w:rPr>
                <w:i/>
              </w:rPr>
              <w:t xml:space="preserve">., або на 15% менше) </w:t>
            </w:r>
            <w:r w:rsidRPr="00F43EED">
              <w:t>та інше.</w:t>
            </w:r>
          </w:p>
          <w:p w:rsidR="00E20811" w:rsidRPr="00F43EED" w:rsidRDefault="00E20811" w:rsidP="0000432A">
            <w:pPr>
              <w:suppressAutoHyphens/>
              <w:ind w:firstLine="459"/>
              <w:jc w:val="both"/>
            </w:pPr>
            <w:r w:rsidRPr="00F43EED">
              <w:t xml:space="preserve">Основним джерелом надходження готівки до кас банківських установ залишалась торговельна мережа, через яку вилучалося 38% усієї готівки, що на 3 </w:t>
            </w:r>
            <w:proofErr w:type="spellStart"/>
            <w:r w:rsidRPr="00F43EED">
              <w:t>в.п</w:t>
            </w:r>
            <w:proofErr w:type="spellEnd"/>
            <w:r w:rsidRPr="00F43EED">
              <w:t xml:space="preserve">. менше ніж у відповідному періоді минулого року. </w:t>
            </w:r>
          </w:p>
          <w:p w:rsidR="00E20811" w:rsidRPr="00F43EED" w:rsidRDefault="00E20811" w:rsidP="0000432A">
            <w:pPr>
              <w:suppressAutoHyphens/>
              <w:ind w:firstLine="459"/>
              <w:jc w:val="both"/>
            </w:pPr>
            <w:r w:rsidRPr="00F43EED">
              <w:t xml:space="preserve">Загальні обсяги готівки яка була видана з кас банків області у січні-квітні 2016 року, склали майже 14 </w:t>
            </w:r>
            <w:proofErr w:type="spellStart"/>
            <w:r w:rsidRPr="00F43EED">
              <w:t>млрд.грн</w:t>
            </w:r>
            <w:proofErr w:type="spellEnd"/>
            <w:r w:rsidRPr="00F43EED">
              <w:t xml:space="preserve">. і в порівнянні з відповідним періодом 2015 року збільшились на 1,66  </w:t>
            </w:r>
            <w:proofErr w:type="spellStart"/>
            <w:r w:rsidRPr="00F43EED">
              <w:t>млрд.грн</w:t>
            </w:r>
            <w:proofErr w:type="spellEnd"/>
            <w:r w:rsidRPr="00F43EED">
              <w:t>. або на 14%.</w:t>
            </w:r>
          </w:p>
          <w:p w:rsidR="00E20811" w:rsidRPr="00F43EED" w:rsidRDefault="00E20811" w:rsidP="0000432A">
            <w:pPr>
              <w:suppressAutoHyphens/>
              <w:ind w:firstLine="459"/>
              <w:jc w:val="both"/>
            </w:pPr>
            <w:r w:rsidRPr="00F43EED">
              <w:t xml:space="preserve">В тому числі в розрізі статей обсяги видачі готівки склали:  з використанням платіжних карток майже 9 </w:t>
            </w:r>
            <w:proofErr w:type="spellStart"/>
            <w:r w:rsidRPr="00F43EED">
              <w:t>млрд.грн</w:t>
            </w:r>
            <w:proofErr w:type="spellEnd"/>
            <w:r w:rsidRPr="00F43EED">
              <w:t xml:space="preserve">. і зросли до січня-квітня 2015 року на 20%, або близько на 1,5 </w:t>
            </w:r>
            <w:proofErr w:type="spellStart"/>
            <w:r w:rsidRPr="00F43EED">
              <w:t>млрд.грн</w:t>
            </w:r>
            <w:proofErr w:type="spellEnd"/>
            <w:r w:rsidRPr="00F43EED">
              <w:t xml:space="preserve">.;  підкріплення підприємств поштового зв’язку на виплату пенсій – 1,56 </w:t>
            </w:r>
            <w:proofErr w:type="spellStart"/>
            <w:r w:rsidRPr="00F43EED">
              <w:t>млрд.грн</w:t>
            </w:r>
            <w:proofErr w:type="spellEnd"/>
            <w:r w:rsidRPr="00F43EED">
              <w:t xml:space="preserve">. </w:t>
            </w:r>
            <w:r w:rsidRPr="00F43EED">
              <w:rPr>
                <w:i/>
              </w:rPr>
              <w:t xml:space="preserve">(на 17 </w:t>
            </w:r>
            <w:proofErr w:type="spellStart"/>
            <w:r w:rsidRPr="00F43EED">
              <w:rPr>
                <w:i/>
              </w:rPr>
              <w:t>млн.грн</w:t>
            </w:r>
            <w:proofErr w:type="spellEnd"/>
            <w:r w:rsidRPr="00F43EED">
              <w:rPr>
                <w:i/>
              </w:rPr>
              <w:t>., або на 1% більше),</w:t>
            </w:r>
            <w:r w:rsidRPr="00F43EED">
              <w:t xml:space="preserve"> з рахунків за вкладами фізичних осіб – 1,02  </w:t>
            </w:r>
            <w:proofErr w:type="spellStart"/>
            <w:r w:rsidRPr="00F43EED">
              <w:t>млрд.грн</w:t>
            </w:r>
            <w:proofErr w:type="spellEnd"/>
            <w:r w:rsidRPr="00F43EED">
              <w:t xml:space="preserve">. </w:t>
            </w:r>
            <w:r w:rsidRPr="00F43EED">
              <w:rPr>
                <w:i/>
              </w:rPr>
              <w:t xml:space="preserve">(на 372 </w:t>
            </w:r>
            <w:proofErr w:type="spellStart"/>
            <w:r w:rsidRPr="00F43EED">
              <w:rPr>
                <w:i/>
              </w:rPr>
              <w:t>млн.грн</w:t>
            </w:r>
            <w:proofErr w:type="spellEnd"/>
            <w:r w:rsidRPr="00F43EED">
              <w:rPr>
                <w:i/>
              </w:rPr>
              <w:t>., або на 27% менше),</w:t>
            </w:r>
            <w:r w:rsidRPr="00F43EED">
              <w:t xml:space="preserve"> на придбання іноземної валюти – 730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</w:t>
            </w:r>
            <w:r w:rsidRPr="00F43EED">
              <w:rPr>
                <w:i/>
              </w:rPr>
              <w:t xml:space="preserve">(на 447 </w:t>
            </w:r>
            <w:proofErr w:type="spellStart"/>
            <w:r w:rsidRPr="00F43EED">
              <w:rPr>
                <w:i/>
              </w:rPr>
              <w:t>млн.грн</w:t>
            </w:r>
            <w:proofErr w:type="spellEnd"/>
            <w:r w:rsidRPr="00F43EED">
              <w:rPr>
                <w:i/>
              </w:rPr>
              <w:t>., або в 2,6 рази більше),</w:t>
            </w:r>
            <w:r w:rsidRPr="00F43EED">
              <w:t xml:space="preserve"> на виплати, пов’язані з оплатою праці – 429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</w:t>
            </w:r>
            <w:r w:rsidRPr="00F43EED">
              <w:rPr>
                <w:i/>
              </w:rPr>
              <w:t xml:space="preserve">(на 63 </w:t>
            </w:r>
            <w:proofErr w:type="spellStart"/>
            <w:r w:rsidRPr="00F43EED">
              <w:rPr>
                <w:i/>
              </w:rPr>
              <w:t>млн.грн</w:t>
            </w:r>
            <w:proofErr w:type="spellEnd"/>
            <w:r w:rsidRPr="00F43EED">
              <w:rPr>
                <w:i/>
              </w:rPr>
              <w:t>., або на 17% більше),</w:t>
            </w:r>
            <w:r w:rsidRPr="00F43EED">
              <w:t xml:space="preserve"> на </w:t>
            </w:r>
            <w:r w:rsidRPr="00F43EED">
              <w:lastRenderedPageBreak/>
              <w:t xml:space="preserve">купівлю товарів, оплату послуг і за виконані роботи – 131 </w:t>
            </w:r>
            <w:proofErr w:type="spellStart"/>
            <w:r w:rsidRPr="00F43EED">
              <w:t>млн.грн</w:t>
            </w:r>
            <w:proofErr w:type="spellEnd"/>
            <w:r w:rsidRPr="00F43EED">
              <w:t>. (</w:t>
            </w:r>
            <w:r w:rsidRPr="00F43EED">
              <w:rPr>
                <w:i/>
              </w:rPr>
              <w:t xml:space="preserve">на 101 </w:t>
            </w:r>
            <w:proofErr w:type="spellStart"/>
            <w:r w:rsidRPr="00F43EED">
              <w:rPr>
                <w:i/>
              </w:rPr>
              <w:t>млн.грн</w:t>
            </w:r>
            <w:proofErr w:type="spellEnd"/>
            <w:r w:rsidRPr="00F43EED">
              <w:rPr>
                <w:i/>
              </w:rPr>
              <w:t>., або на 44% менше),</w:t>
            </w:r>
            <w:r w:rsidRPr="00F43EED">
              <w:t xml:space="preserve"> на видачу кредитів готівкою – 10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</w:t>
            </w:r>
            <w:r w:rsidRPr="00F43EED">
              <w:rPr>
                <w:i/>
              </w:rPr>
              <w:t xml:space="preserve">(на 5 </w:t>
            </w:r>
            <w:proofErr w:type="spellStart"/>
            <w:r w:rsidRPr="00F43EED">
              <w:rPr>
                <w:i/>
              </w:rPr>
              <w:t>млн.грн</w:t>
            </w:r>
            <w:proofErr w:type="spellEnd"/>
            <w:r w:rsidRPr="00F43EED">
              <w:rPr>
                <w:i/>
              </w:rPr>
              <w:t>., або в 2 рази більше)</w:t>
            </w:r>
            <w:r w:rsidRPr="00F43EED">
              <w:t xml:space="preserve"> тощо.</w:t>
            </w:r>
          </w:p>
          <w:p w:rsidR="00E20811" w:rsidRPr="00F43EED" w:rsidRDefault="00E20811" w:rsidP="0000432A">
            <w:pPr>
              <w:suppressAutoHyphens/>
              <w:ind w:firstLine="459"/>
              <w:jc w:val="both"/>
            </w:pPr>
            <w:r w:rsidRPr="00F43EED">
              <w:t xml:space="preserve">Водночас, безготівкові перерахування пенсій і допомог на поточні рахунки фізичних осіб в січні-квітні 2016 року  в порівнянні з відповідним періодом попереднього року зменшились на 153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або на 9% і склали 1,58 </w:t>
            </w:r>
            <w:proofErr w:type="spellStart"/>
            <w:r w:rsidRPr="00F43EED">
              <w:t>млрд.грн</w:t>
            </w:r>
            <w:proofErr w:type="spellEnd"/>
            <w:r w:rsidRPr="00F43EED">
              <w:t xml:space="preserve">. </w:t>
            </w:r>
            <w:r w:rsidRPr="00F43EED">
              <w:rPr>
                <w:i/>
              </w:rPr>
              <w:t>(зменшення відбулось у зв’язку з достроковою виплатою Пенсійним фондом України у грудні 2015 року пенсій січня 2016 року).</w:t>
            </w:r>
            <w:r w:rsidRPr="00F43EED">
              <w:t xml:space="preserve"> Безготівкові зарахування заробітної плати та інших видів оплати праці збільшились на 452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або на 18%  і склали 3 </w:t>
            </w:r>
            <w:proofErr w:type="spellStart"/>
            <w:r w:rsidRPr="00F43EED">
              <w:t>млрд.грн</w:t>
            </w:r>
            <w:proofErr w:type="spellEnd"/>
            <w:r w:rsidRPr="00F43EED">
              <w:t>.</w:t>
            </w:r>
          </w:p>
          <w:p w:rsidR="00E20811" w:rsidRPr="00F43EED" w:rsidRDefault="00E20811" w:rsidP="0000432A">
            <w:pPr>
              <w:suppressAutoHyphens/>
              <w:ind w:firstLine="459"/>
              <w:jc w:val="both"/>
            </w:pPr>
            <w:r w:rsidRPr="00F43EED">
              <w:t xml:space="preserve">Безготівкові розрахунки із використанням платіжних карток склали 1,1 </w:t>
            </w:r>
            <w:proofErr w:type="spellStart"/>
            <w:r w:rsidRPr="00F43EED">
              <w:t>млрд.грн</w:t>
            </w:r>
            <w:proofErr w:type="spellEnd"/>
            <w:r w:rsidRPr="00F43EED">
              <w:t xml:space="preserve">., що на 289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або на 36% більше в порівнянні з аналогічним періодом минулого року. Безготівкові  розрахунки фізичних осіб за товари, послуги та інші перерахування збільшились на 177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або на 32%  і склали 734 </w:t>
            </w:r>
            <w:proofErr w:type="spellStart"/>
            <w:r w:rsidRPr="00F43EED">
              <w:t>млн.грн</w:t>
            </w:r>
            <w:proofErr w:type="spellEnd"/>
            <w:r w:rsidRPr="00F43EED">
              <w:t>.</w:t>
            </w:r>
          </w:p>
          <w:p w:rsidR="00E20811" w:rsidRPr="00F43EED" w:rsidRDefault="00E20811" w:rsidP="0000432A">
            <w:pPr>
              <w:suppressAutoHyphens/>
              <w:ind w:firstLine="459"/>
              <w:jc w:val="both"/>
            </w:pPr>
            <w:r w:rsidRPr="00F43EED">
              <w:t xml:space="preserve">За січень-квітень 2016 року обсяги видатків готівки з кас банківських установ області  перевищували обсяги її надходжень до кас банківських установ, що призвело до випуску готівки в обіг у сумі 107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., в той час, як за січень-квітень 2015 року обсяги надходжень готівки до кас банківських установ області  перевищували обсяги її видатків з кас банківських установ, що призвело до вилучення готівки з обігу у сумі 193 </w:t>
            </w:r>
            <w:proofErr w:type="spellStart"/>
            <w:r w:rsidRPr="00F43EED">
              <w:t>млн.грн</w:t>
            </w:r>
            <w:proofErr w:type="spellEnd"/>
            <w:r w:rsidRPr="00F43EED">
              <w:t>. Питома вага емісії у видатках за січень-квітень 2016 року склала 0,8%.</w:t>
            </w:r>
          </w:p>
          <w:p w:rsidR="00921422" w:rsidRPr="00F43EED" w:rsidRDefault="00921422" w:rsidP="0000432A">
            <w:pPr>
              <w:tabs>
                <w:tab w:val="left" w:pos="742"/>
              </w:tabs>
              <w:suppressAutoHyphens/>
              <w:ind w:firstLine="459"/>
              <w:jc w:val="both"/>
            </w:pPr>
          </w:p>
        </w:tc>
      </w:tr>
      <w:tr w:rsidR="00967880" w:rsidRPr="00F43EED" w:rsidTr="00EF07DD">
        <w:trPr>
          <w:trHeight w:val="708"/>
        </w:trPr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967880" w:rsidRPr="00F43EED" w:rsidRDefault="00967880" w:rsidP="00CB796B">
            <w:pPr>
              <w:pStyle w:val="afb"/>
              <w:snapToGrid w:val="0"/>
              <w:jc w:val="left"/>
              <w:rPr>
                <w:i/>
              </w:rPr>
            </w:pPr>
          </w:p>
          <w:p w:rsidR="00967880" w:rsidRPr="00F43EED" w:rsidRDefault="00967880" w:rsidP="00CB796B">
            <w:pPr>
              <w:pStyle w:val="afb"/>
              <w:snapToGrid w:val="0"/>
              <w:jc w:val="left"/>
              <w:rPr>
                <w:i/>
              </w:rPr>
            </w:pPr>
          </w:p>
        </w:tc>
        <w:tc>
          <w:tcPr>
            <w:tcW w:w="9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967880" w:rsidRPr="00F43EED" w:rsidRDefault="00967880" w:rsidP="00967880">
            <w:pPr>
              <w:pStyle w:val="15"/>
            </w:pPr>
          </w:p>
          <w:p w:rsidR="00967880" w:rsidRPr="00F43EED" w:rsidRDefault="00967880" w:rsidP="00EF07DD">
            <w:pPr>
              <w:pStyle w:val="15"/>
            </w:pPr>
            <w:r w:rsidRPr="00F43EED">
              <w:t>ЕФЕКТИВНІСТЬ РОБОТИ ГОСПОДАРСЬКОГО КОМПЛЕКСУ</w:t>
            </w:r>
          </w:p>
        </w:tc>
      </w:tr>
      <w:tr w:rsidR="00967880" w:rsidRPr="00F43EED" w:rsidTr="00967880">
        <w:trPr>
          <w:trHeight w:val="2692"/>
        </w:trPr>
        <w:tc>
          <w:tcPr>
            <w:tcW w:w="170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967880" w:rsidRPr="00F43EED" w:rsidRDefault="00967880" w:rsidP="00967880">
            <w:pPr>
              <w:pStyle w:val="ab"/>
              <w:snapToGrid w:val="0"/>
              <w:ind w:firstLine="0"/>
              <w:jc w:val="left"/>
              <w:rPr>
                <w:b/>
                <w:sz w:val="24"/>
              </w:rPr>
            </w:pPr>
            <w:r w:rsidRPr="00F43EED">
              <w:rPr>
                <w:b/>
                <w:i/>
                <w:sz w:val="24"/>
              </w:rPr>
              <w:t>Фінансовий результат господарської діяльності</w:t>
            </w:r>
            <w:r w:rsidRPr="00F43EED">
              <w:rPr>
                <w:b/>
                <w:sz w:val="24"/>
              </w:rPr>
              <w:t xml:space="preserve"> (</w:t>
            </w:r>
            <w:r w:rsidRPr="00F43EED">
              <w:rPr>
                <w:b/>
                <w:i/>
                <w:sz w:val="24"/>
              </w:rPr>
              <w:t>по бухгалтерському обліку</w:t>
            </w:r>
            <w:r w:rsidRPr="00F43EED">
              <w:rPr>
                <w:b/>
                <w:sz w:val="24"/>
              </w:rPr>
              <w:t>)</w:t>
            </w:r>
          </w:p>
          <w:p w:rsidR="00967880" w:rsidRPr="00F43EED" w:rsidRDefault="00967880" w:rsidP="00CB796B">
            <w:pPr>
              <w:pStyle w:val="afb"/>
              <w:snapToGrid w:val="0"/>
              <w:jc w:val="left"/>
              <w:rPr>
                <w:i/>
              </w:rPr>
            </w:pPr>
          </w:p>
        </w:tc>
        <w:tc>
          <w:tcPr>
            <w:tcW w:w="90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20811" w:rsidRPr="00F43EED" w:rsidRDefault="00E20811" w:rsidP="0000432A">
            <w:pPr>
              <w:tabs>
                <w:tab w:val="left" w:pos="2712"/>
              </w:tabs>
              <w:suppressAutoHyphens/>
              <w:ind w:firstLine="459"/>
              <w:jc w:val="both"/>
            </w:pPr>
            <w:r w:rsidRPr="00F43EED">
              <w:t xml:space="preserve">Незважаючи на зовнішні та внутрішні виклики минулого року, значна кількість суб’єктів господарської діяльності області спрацювали за січень-березень 2016 року  ефективно. </w:t>
            </w:r>
          </w:p>
          <w:p w:rsidR="00E20811" w:rsidRPr="00F43EED" w:rsidRDefault="00E20811" w:rsidP="0000432A">
            <w:pPr>
              <w:tabs>
                <w:tab w:val="left" w:pos="2712"/>
              </w:tabs>
              <w:suppressAutoHyphens/>
              <w:ind w:firstLine="459"/>
              <w:jc w:val="both"/>
            </w:pPr>
            <w:r w:rsidRPr="00F43EED">
              <w:t>Відповідно до попередніх даних Головного управління статистики у Вінницькій області</w:t>
            </w:r>
            <w:r w:rsidRPr="00F43EED">
              <w:rPr>
                <w:b/>
              </w:rPr>
              <w:t xml:space="preserve"> з</w:t>
            </w:r>
            <w:r w:rsidRPr="00F43EED">
              <w:t xml:space="preserve">а січень-березень 2016 року фінансовий результат діяльності великих та середніх підприємств області  становить 173,4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прибутку, тоді як за січень-березень 2015 року спрацювали із негативним сальдовим результатом у сумі майже 368,0 </w:t>
            </w:r>
            <w:proofErr w:type="spellStart"/>
            <w:r w:rsidRPr="00F43EED">
              <w:t>млн.грн</w:t>
            </w:r>
            <w:proofErr w:type="spellEnd"/>
            <w:r w:rsidRPr="00F43EED">
              <w:t>. збитку.</w:t>
            </w:r>
          </w:p>
          <w:p w:rsidR="00E20811" w:rsidRPr="00F43EED" w:rsidRDefault="00E20811" w:rsidP="0000432A">
            <w:pPr>
              <w:suppressAutoHyphens/>
              <w:snapToGrid w:val="0"/>
              <w:ind w:firstLine="459"/>
              <w:jc w:val="both"/>
            </w:pPr>
            <w:proofErr w:type="spellStart"/>
            <w:r w:rsidRPr="00F43EED">
              <w:t>Прибутково</w:t>
            </w:r>
            <w:proofErr w:type="spellEnd"/>
            <w:r w:rsidRPr="00F43EED">
              <w:t xml:space="preserve"> спрацювали 63,8% (+6,0 </w:t>
            </w:r>
            <w:proofErr w:type="spellStart"/>
            <w:r w:rsidRPr="00F43EED">
              <w:t>в.п</w:t>
            </w:r>
            <w:proofErr w:type="spellEnd"/>
            <w:r w:rsidRPr="00F43EED">
              <w:t xml:space="preserve">.) підприємств і в порівнянні із відповідним періодом 2015 року  обсяг їх прибутку  скоротився  на 23,7%, або на 192,0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і складає 619,2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</w:t>
            </w:r>
          </w:p>
          <w:p w:rsidR="00E20811" w:rsidRPr="00F43EED" w:rsidRDefault="00E20811" w:rsidP="0000432A">
            <w:pPr>
              <w:suppressAutoHyphens/>
              <w:ind w:firstLine="459"/>
              <w:jc w:val="both"/>
            </w:pPr>
            <w:r w:rsidRPr="00F43EED">
              <w:t xml:space="preserve">Найбільший вплив на результати діяльності економіки області мала діяльність </w:t>
            </w:r>
            <w:r w:rsidRPr="00F43EED">
              <w:rPr>
                <w:b/>
              </w:rPr>
              <w:t>промислових підприємств</w:t>
            </w:r>
            <w:r w:rsidRPr="00F43EED">
              <w:t xml:space="preserve">, які за січень-березень 2016 року спрацювали в цілому </w:t>
            </w:r>
            <w:proofErr w:type="spellStart"/>
            <w:r w:rsidRPr="00F43EED">
              <w:t>прибутково</w:t>
            </w:r>
            <w:proofErr w:type="spellEnd"/>
            <w:r w:rsidRPr="00F43EED">
              <w:t xml:space="preserve"> -  прибуток складає 202,6 млн. грн., тоді як у відповідному періоді 2015 року було отримано 227,9 </w:t>
            </w:r>
            <w:proofErr w:type="spellStart"/>
            <w:r w:rsidRPr="00F43EED">
              <w:t>млн.грн</w:t>
            </w:r>
            <w:proofErr w:type="spellEnd"/>
            <w:r w:rsidRPr="00F43EED">
              <w:t>. збитку.</w:t>
            </w:r>
          </w:p>
          <w:p w:rsidR="00E20811" w:rsidRPr="00F43EED" w:rsidRDefault="00E20811" w:rsidP="0000432A">
            <w:pPr>
              <w:suppressAutoHyphens/>
              <w:ind w:firstLine="459"/>
              <w:jc w:val="both"/>
            </w:pPr>
            <w:r w:rsidRPr="00F43EED">
              <w:t xml:space="preserve">Питома вага прибуткових промислових підприємств склала 62,6% (+10,2 </w:t>
            </w:r>
            <w:proofErr w:type="spellStart"/>
            <w:r w:rsidRPr="00F43EED">
              <w:t>в.п</w:t>
            </w:r>
            <w:proofErr w:type="spellEnd"/>
            <w:r w:rsidRPr="00F43EED">
              <w:t xml:space="preserve">.).Сума їх прибутків (521,3 </w:t>
            </w:r>
            <w:proofErr w:type="spellStart"/>
            <w:r w:rsidRPr="00F43EED">
              <w:t>млн.грн</w:t>
            </w:r>
            <w:proofErr w:type="spellEnd"/>
            <w:r w:rsidRPr="00F43EED">
              <w:t>.) скоротилася в порівнянні з відповідним періодом 2015 року  на 11,5% і займає 84,2% в структурі прибутку прибуткових підприємств в цілому по всіх видах економічної діяльності.</w:t>
            </w:r>
          </w:p>
          <w:p w:rsidR="00E20811" w:rsidRPr="00F43EED" w:rsidRDefault="00E20811" w:rsidP="0000432A">
            <w:pPr>
              <w:suppressAutoHyphens/>
              <w:ind w:firstLine="459"/>
              <w:jc w:val="both"/>
            </w:pPr>
            <w:proofErr w:type="spellStart"/>
            <w:r w:rsidRPr="00F43EED">
              <w:t>Прибутково</w:t>
            </w:r>
            <w:proofErr w:type="spellEnd"/>
            <w:r w:rsidRPr="00F43EED">
              <w:t xml:space="preserve"> спрацювали підприємства більшості галузей промисловості (крім видів діяльності «добувна промисловість і розроблення кар’єрів», «переробна промисловість», «виготовлення виробів з деревини, паперу та поліграфічна діяльність» та «водопостачання; каналізація, поводження з відходами»).</w:t>
            </w:r>
          </w:p>
          <w:p w:rsidR="00E20811" w:rsidRPr="00F43EED" w:rsidRDefault="00E20811" w:rsidP="0000432A">
            <w:pPr>
              <w:suppressAutoHyphens/>
              <w:ind w:firstLine="459"/>
              <w:jc w:val="both"/>
              <w:rPr>
                <w:i/>
              </w:rPr>
            </w:pPr>
            <w:r w:rsidRPr="00F43EED">
              <w:t>П</w:t>
            </w:r>
            <w:r w:rsidRPr="00F43EED">
              <w:rPr>
                <w:u w:val="single"/>
              </w:rPr>
              <w:t>ідприємства переробної промисловості</w:t>
            </w:r>
            <w:r w:rsidRPr="00F43EED">
              <w:t xml:space="preserve"> за січень-березень 2016 року спрацювали із  збитковим фінансовим результатом, сума якого 11,13 млн. грн., що на 221,9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або в 20,9 разів менше відповідного періоду 2015 року </w:t>
            </w:r>
            <w:r w:rsidRPr="00F43EED">
              <w:rPr>
                <w:i/>
              </w:rPr>
              <w:t>(у січні-березні 2015 році 233,07млн.грн збитку).</w:t>
            </w:r>
            <w:r w:rsidRPr="00F43EED">
              <w:t xml:space="preserve"> Частка </w:t>
            </w:r>
            <w:proofErr w:type="spellStart"/>
            <w:r w:rsidRPr="00F43EED">
              <w:t>прибутково</w:t>
            </w:r>
            <w:proofErr w:type="spellEnd"/>
            <w:r w:rsidRPr="00F43EED">
              <w:t xml:space="preserve"> працюючих підприємств склала 66,7% (+8,6 </w:t>
            </w:r>
            <w:proofErr w:type="spellStart"/>
            <w:r w:rsidRPr="00F43EED">
              <w:t>в.п</w:t>
            </w:r>
            <w:proofErr w:type="spellEnd"/>
            <w:r w:rsidRPr="00F43EED">
              <w:t xml:space="preserve">.), їх прибуток скоротився на 44,3% і склав 239,0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</w:t>
            </w:r>
            <w:r w:rsidRPr="00F43EED">
              <w:rPr>
                <w:i/>
              </w:rPr>
              <w:t>(45,9 % прибутків промисловості).</w:t>
            </w:r>
          </w:p>
          <w:p w:rsidR="00E20811" w:rsidRPr="00F43EED" w:rsidRDefault="00E20811" w:rsidP="0000432A">
            <w:pPr>
              <w:suppressAutoHyphens/>
              <w:ind w:firstLine="459"/>
              <w:jc w:val="both"/>
            </w:pPr>
            <w:r w:rsidRPr="00F43EED">
              <w:t xml:space="preserve">Серед галузей переробної промисловості із позитивним фінансовим результатом спрацювали підприємства </w:t>
            </w:r>
            <w:r w:rsidRPr="00F43EED">
              <w:rPr>
                <w:u w:val="single"/>
              </w:rPr>
              <w:t xml:space="preserve">з виробництва харчових продуктів, напоїв і тютюнових </w:t>
            </w:r>
            <w:r w:rsidRPr="00F43EED">
              <w:rPr>
                <w:u w:val="single"/>
              </w:rPr>
              <w:lastRenderedPageBreak/>
              <w:t>виробів</w:t>
            </w:r>
            <w:r w:rsidRPr="00F43EED">
              <w:t xml:space="preserve">. За січень-березень 2016 року вони отримали 22,7 млн. грн. прибутку, що на 98,3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або в 4,7 рази менше ніж у відповідному періоді 2015 року </w:t>
            </w:r>
            <w:r w:rsidRPr="00F43EED">
              <w:rPr>
                <w:i/>
              </w:rPr>
              <w:t xml:space="preserve">(у 2015 році – 105,7 </w:t>
            </w:r>
            <w:proofErr w:type="spellStart"/>
            <w:r w:rsidRPr="00F43EED">
              <w:rPr>
                <w:i/>
              </w:rPr>
              <w:t>млн.грн</w:t>
            </w:r>
            <w:proofErr w:type="spellEnd"/>
            <w:r w:rsidRPr="00F43EED">
              <w:rPr>
                <w:i/>
              </w:rPr>
              <w:t xml:space="preserve"> прибутку).</w:t>
            </w:r>
            <w:r w:rsidRPr="00F43EED">
              <w:t xml:space="preserve"> </w:t>
            </w:r>
            <w:proofErr w:type="spellStart"/>
            <w:r w:rsidRPr="00F43EED">
              <w:t>Прибутково</w:t>
            </w:r>
            <w:proofErr w:type="spellEnd"/>
            <w:r w:rsidRPr="00F43EED">
              <w:t xml:space="preserve"> спрацювали 60% (+1,2 </w:t>
            </w:r>
            <w:proofErr w:type="spellStart"/>
            <w:r w:rsidRPr="00F43EED">
              <w:t>в.п</w:t>
            </w:r>
            <w:proofErr w:type="spellEnd"/>
            <w:r w:rsidRPr="00F43EED">
              <w:t xml:space="preserve">.), сума прибутку харчових підприємств скоротилася  у 2,2 рази і склала 152,8 </w:t>
            </w:r>
            <w:proofErr w:type="spellStart"/>
            <w:r w:rsidRPr="00F43EED">
              <w:t>млн.грн</w:t>
            </w:r>
            <w:proofErr w:type="spellEnd"/>
            <w:r w:rsidRPr="00F43EED">
              <w:t>. (</w:t>
            </w:r>
            <w:r w:rsidRPr="00F43EED">
              <w:rPr>
                <w:i/>
              </w:rPr>
              <w:t>29,3% суми прибутку підприємств переробної промисловості).</w:t>
            </w:r>
          </w:p>
          <w:p w:rsidR="00E20811" w:rsidRPr="00F43EED" w:rsidRDefault="00E20811" w:rsidP="0000432A">
            <w:pPr>
              <w:suppressAutoHyphens/>
              <w:ind w:firstLine="459"/>
              <w:jc w:val="both"/>
            </w:pPr>
            <w:r w:rsidRPr="00F43EED">
              <w:t xml:space="preserve">В цілому </w:t>
            </w:r>
            <w:proofErr w:type="spellStart"/>
            <w:r w:rsidRPr="00F43EED">
              <w:t>прибутково</w:t>
            </w:r>
            <w:proofErr w:type="spellEnd"/>
            <w:r w:rsidRPr="00F43EED">
              <w:t xml:space="preserve"> серед інших спрацювали переробні підприємства таких видів діяльності</w:t>
            </w:r>
            <w:r w:rsidRPr="00F43EED">
              <w:rPr>
                <w:i/>
              </w:rPr>
              <w:t>:</w:t>
            </w:r>
          </w:p>
          <w:p w:rsidR="00E20811" w:rsidRPr="00F43EED" w:rsidRDefault="00E20811" w:rsidP="0000432A">
            <w:pPr>
              <w:tabs>
                <w:tab w:val="left" w:pos="0"/>
                <w:tab w:val="left" w:pos="360"/>
                <w:tab w:val="left" w:pos="1146"/>
              </w:tabs>
              <w:suppressAutoHyphens/>
              <w:ind w:firstLine="459"/>
              <w:jc w:val="both"/>
            </w:pPr>
            <w:r w:rsidRPr="00F43EED">
              <w:t xml:space="preserve">- </w:t>
            </w:r>
            <w:r w:rsidRPr="00F43EED">
              <w:rPr>
                <w:i/>
              </w:rPr>
              <w:t>виробництво хімічних речовин і хімічної продукції</w:t>
            </w:r>
            <w:r w:rsidRPr="00F43EED">
              <w:t xml:space="preserve"> – фінансовий результат становить майже 30,0 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прибутку, який в порівняні  з січнем-березнем 2015 року зріс у 4,6 рази або на 23,4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., на 2,9 </w:t>
            </w:r>
            <w:proofErr w:type="spellStart"/>
            <w:r w:rsidRPr="00F43EED">
              <w:t>в.п</w:t>
            </w:r>
            <w:proofErr w:type="spellEnd"/>
            <w:r w:rsidRPr="00F43EED">
              <w:t xml:space="preserve">. зменшилась частка прибуткових підприємств і складає 60%, а сума отриманого ними прибутку зросла на 20,8%  і склала майже 33,3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.; </w:t>
            </w:r>
          </w:p>
          <w:p w:rsidR="00E20811" w:rsidRPr="00F43EED" w:rsidRDefault="00E20811" w:rsidP="0000432A">
            <w:pPr>
              <w:tabs>
                <w:tab w:val="left" w:pos="0"/>
                <w:tab w:val="left" w:pos="360"/>
                <w:tab w:val="left" w:pos="1146"/>
              </w:tabs>
              <w:suppressAutoHyphens/>
              <w:ind w:firstLine="459"/>
              <w:jc w:val="both"/>
            </w:pPr>
            <w:r w:rsidRPr="00F43EED">
              <w:t xml:space="preserve">- </w:t>
            </w:r>
            <w:r w:rsidRPr="00F43EED">
              <w:rPr>
                <w:i/>
              </w:rPr>
              <w:t>машинобудування</w:t>
            </w:r>
            <w:r w:rsidRPr="00F43EED">
              <w:t xml:space="preserve"> - фінансовий результат склав 18,13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прибутку, обсяг якого в порівнянні з відповідним періодом минулого року зріс у 1,6 рази або на 7,0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., частка прибуткових підприємств становить 78,3% а сума отриманого ними прибутку зросла на 8,7%  і склала 22,5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.; </w:t>
            </w:r>
          </w:p>
          <w:p w:rsidR="00E20811" w:rsidRPr="00F43EED" w:rsidRDefault="00E20811" w:rsidP="0000432A">
            <w:pPr>
              <w:tabs>
                <w:tab w:val="left" w:pos="0"/>
                <w:tab w:val="left" w:pos="360"/>
                <w:tab w:val="left" w:pos="1146"/>
              </w:tabs>
              <w:suppressAutoHyphens/>
              <w:ind w:firstLine="459"/>
              <w:jc w:val="both"/>
            </w:pPr>
            <w:r w:rsidRPr="00F43EED">
              <w:t xml:space="preserve">- </w:t>
            </w:r>
            <w:r w:rsidRPr="00F43EED">
              <w:rPr>
                <w:i/>
              </w:rPr>
              <w:t>машинобудування</w:t>
            </w:r>
            <w:r w:rsidRPr="00F43EED">
              <w:t xml:space="preserve"> – фінансовий результат становить 18,4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прибутку, і зріс до </w:t>
            </w:r>
            <w:proofErr w:type="spellStart"/>
            <w:r w:rsidRPr="00F43EED">
              <w:t>січеня-березеня</w:t>
            </w:r>
            <w:proofErr w:type="spellEnd"/>
            <w:r w:rsidRPr="00F43EED">
              <w:t xml:space="preserve"> 2015 року в 1,6 рази або на 7,05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.,  частка прибуткових підприємств становить 78,3% а сума отриманого ними прибутку зросла на 8,7%  і склала 22,53 </w:t>
            </w:r>
            <w:proofErr w:type="spellStart"/>
            <w:r w:rsidRPr="00F43EED">
              <w:t>млн.грн</w:t>
            </w:r>
            <w:proofErr w:type="spellEnd"/>
            <w:r w:rsidRPr="00F43EED">
              <w:t>.</w:t>
            </w:r>
          </w:p>
          <w:p w:rsidR="00E20811" w:rsidRPr="00F43EED" w:rsidRDefault="00E20811" w:rsidP="0000432A">
            <w:pPr>
              <w:tabs>
                <w:tab w:val="left" w:pos="0"/>
                <w:tab w:val="left" w:pos="360"/>
                <w:tab w:val="left" w:pos="1146"/>
              </w:tabs>
              <w:suppressAutoHyphens/>
              <w:ind w:firstLine="459"/>
              <w:jc w:val="both"/>
            </w:pPr>
            <w:r w:rsidRPr="00F43EED">
              <w:t xml:space="preserve">Також </w:t>
            </w:r>
            <w:proofErr w:type="spellStart"/>
            <w:r w:rsidRPr="00F43EED">
              <w:t>прибутково</w:t>
            </w:r>
            <w:proofErr w:type="spellEnd"/>
            <w:r w:rsidRPr="00F43EED">
              <w:t xml:space="preserve"> спрацювали за січень-березень 2016 року підприємства наступних видів діяльності: </w:t>
            </w:r>
            <w:r w:rsidRPr="00F43EED">
              <w:rPr>
                <w:u w:val="single"/>
              </w:rPr>
              <w:t>текстильне виробництво, виробництво одягу, шкіри, виробів зі шкіри та інших матеріалів</w:t>
            </w:r>
            <w:r w:rsidRPr="00F43EED">
              <w:rPr>
                <w:i/>
              </w:rPr>
              <w:t xml:space="preserve">(результат 5,09 </w:t>
            </w:r>
            <w:proofErr w:type="spellStart"/>
            <w:r w:rsidRPr="00F43EED">
              <w:rPr>
                <w:i/>
              </w:rPr>
              <w:t>млн.грн</w:t>
            </w:r>
            <w:proofErr w:type="spellEnd"/>
            <w:r w:rsidRPr="00F43EED">
              <w:rPr>
                <w:i/>
              </w:rPr>
              <w:t>. прибутку, в порівнянні з січнем-березнем 2015 року він скоротився у 2,4 рази, 80% прибуткових підприємств</w:t>
            </w:r>
            <w:r w:rsidRPr="00F43EED">
              <w:t xml:space="preserve">);  </w:t>
            </w:r>
            <w:r w:rsidRPr="00F43EED">
              <w:rPr>
                <w:u w:val="single"/>
              </w:rPr>
              <w:t>виробництво гумових і пластмасових виробів, іншої неметалевої мінеральної продукції</w:t>
            </w:r>
            <w:r w:rsidRPr="00F43EED">
              <w:rPr>
                <w:i/>
              </w:rPr>
              <w:t xml:space="preserve">(відповідно 440,2 </w:t>
            </w:r>
            <w:proofErr w:type="spellStart"/>
            <w:r w:rsidRPr="00F43EED">
              <w:rPr>
                <w:i/>
              </w:rPr>
              <w:t>тис.грн</w:t>
            </w:r>
            <w:proofErr w:type="spellEnd"/>
            <w:r w:rsidRPr="00F43EED">
              <w:rPr>
                <w:i/>
              </w:rPr>
              <w:t xml:space="preserve">. прибутку, у відповідному періоді  минулому року 10,8 </w:t>
            </w:r>
            <w:proofErr w:type="spellStart"/>
            <w:r w:rsidRPr="00F43EED">
              <w:rPr>
                <w:i/>
              </w:rPr>
              <w:t>млн.грн</w:t>
            </w:r>
            <w:proofErr w:type="spellEnd"/>
            <w:r w:rsidRPr="00F43EED">
              <w:rPr>
                <w:i/>
              </w:rPr>
              <w:t>. збитку, 66,7% прибуткових підприємств</w:t>
            </w:r>
            <w:r w:rsidRPr="00F43EED">
              <w:t xml:space="preserve">);  </w:t>
            </w:r>
            <w:r w:rsidRPr="00F43EED">
              <w:rPr>
                <w:u w:val="single"/>
              </w:rPr>
              <w:t>виробництво меблів, іншої продукції; ремонт і монтаж машин і устаткування</w:t>
            </w:r>
            <w:r w:rsidRPr="00F43EED">
              <w:t xml:space="preserve"> – </w:t>
            </w:r>
            <w:r w:rsidRPr="00F43EED">
              <w:rPr>
                <w:i/>
              </w:rPr>
              <w:t xml:space="preserve">(відповідно майже 2,5 </w:t>
            </w:r>
            <w:proofErr w:type="spellStart"/>
            <w:r w:rsidRPr="00F43EED">
              <w:rPr>
                <w:i/>
              </w:rPr>
              <w:t>млн.грн</w:t>
            </w:r>
            <w:proofErr w:type="spellEnd"/>
            <w:r w:rsidRPr="00F43EED">
              <w:rPr>
                <w:i/>
              </w:rPr>
              <w:t xml:space="preserve">. </w:t>
            </w:r>
            <w:proofErr w:type="spellStart"/>
            <w:r w:rsidRPr="00F43EED">
              <w:rPr>
                <w:i/>
              </w:rPr>
              <w:t>прибутку,у</w:t>
            </w:r>
            <w:proofErr w:type="spellEnd"/>
            <w:r w:rsidRPr="00F43EED">
              <w:rPr>
                <w:i/>
              </w:rPr>
              <w:t xml:space="preserve"> відповідному періоді минулого року 1,1 </w:t>
            </w:r>
            <w:proofErr w:type="spellStart"/>
            <w:r w:rsidRPr="00F43EED">
              <w:rPr>
                <w:i/>
              </w:rPr>
              <w:t>млн.грн</w:t>
            </w:r>
            <w:proofErr w:type="spellEnd"/>
            <w:r w:rsidRPr="00F43EED">
              <w:rPr>
                <w:i/>
              </w:rPr>
              <w:t>. збитку.</w:t>
            </w:r>
          </w:p>
          <w:p w:rsidR="00E20811" w:rsidRPr="00F43EED" w:rsidRDefault="00E20811" w:rsidP="0000432A">
            <w:pPr>
              <w:suppressAutoHyphens/>
              <w:ind w:firstLine="459"/>
              <w:jc w:val="both"/>
            </w:pPr>
            <w:r w:rsidRPr="00F43EED">
              <w:t xml:space="preserve">Протягом 2015 року підприємства </w:t>
            </w:r>
            <w:r w:rsidRPr="00F43EED">
              <w:rPr>
                <w:i/>
              </w:rPr>
              <w:t>водопостачання, каналізації, поводження з відходами</w:t>
            </w:r>
            <w:r w:rsidRPr="00F43EED">
              <w:t xml:space="preserve"> – спрацювали </w:t>
            </w:r>
            <w:proofErr w:type="spellStart"/>
            <w:r w:rsidRPr="00F43EED">
              <w:t>збитково</w:t>
            </w:r>
            <w:proofErr w:type="spellEnd"/>
            <w:r w:rsidRPr="00F43EED">
              <w:t xml:space="preserve"> на суму 6,88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., до відповідного періоду минулого року збиток зріс на 19,4% або на 1,12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., 50% підприємств зазначеного виду діяльності спрацювали </w:t>
            </w:r>
            <w:proofErr w:type="spellStart"/>
            <w:r w:rsidRPr="00F43EED">
              <w:t>прибутково</w:t>
            </w:r>
            <w:proofErr w:type="spellEnd"/>
            <w:r w:rsidRPr="00F43EED">
              <w:t xml:space="preserve">, обсяг їх прибутків зріс в 18 разів і склав майже 2 </w:t>
            </w:r>
            <w:proofErr w:type="spellStart"/>
            <w:r w:rsidRPr="00F43EED">
              <w:t>млн.грн</w:t>
            </w:r>
            <w:proofErr w:type="spellEnd"/>
            <w:r w:rsidRPr="00F43EED">
              <w:t>.</w:t>
            </w:r>
          </w:p>
          <w:p w:rsidR="00E20811" w:rsidRPr="00F43EED" w:rsidRDefault="00E20811" w:rsidP="0000432A">
            <w:pPr>
              <w:suppressAutoHyphens/>
              <w:ind w:firstLine="459"/>
              <w:jc w:val="both"/>
            </w:pPr>
            <w:r w:rsidRPr="00F43EED">
              <w:t xml:space="preserve">Підприємствами </w:t>
            </w:r>
            <w:r w:rsidRPr="00F43EED">
              <w:rPr>
                <w:i/>
              </w:rPr>
              <w:t>з постачання електроенергії, газу, пари та кондиційованого повітря -</w:t>
            </w:r>
            <w:r w:rsidRPr="00F43EED">
              <w:t xml:space="preserve"> отримано 221,8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прибутку, обсяг якого зріс в порівнянні із  відповідним періодом минулого року у 2,6 рази, або на 136,8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., 55,6% підприємств зазначеного виду діяльності спрацювали </w:t>
            </w:r>
            <w:proofErr w:type="spellStart"/>
            <w:r w:rsidRPr="00F43EED">
              <w:t>прибутково</w:t>
            </w:r>
            <w:proofErr w:type="spellEnd"/>
            <w:r w:rsidRPr="00F43EED">
              <w:t xml:space="preserve"> (збільшились на 5,6 </w:t>
            </w:r>
            <w:proofErr w:type="spellStart"/>
            <w:r w:rsidRPr="00F43EED">
              <w:t>в.п</w:t>
            </w:r>
            <w:proofErr w:type="spellEnd"/>
            <w:r w:rsidRPr="00F43EED">
              <w:t xml:space="preserve">.), обсяг їх прибутків зріс у 1,8 і склав 227,7 </w:t>
            </w:r>
            <w:proofErr w:type="spellStart"/>
            <w:r w:rsidRPr="00F43EED">
              <w:t>млн.грн</w:t>
            </w:r>
            <w:proofErr w:type="spellEnd"/>
            <w:r w:rsidRPr="00F43EED">
              <w:t>.</w:t>
            </w:r>
          </w:p>
          <w:p w:rsidR="00E20811" w:rsidRPr="00F43EED" w:rsidRDefault="00E20811" w:rsidP="0000432A">
            <w:pPr>
              <w:suppressAutoHyphens/>
              <w:ind w:firstLine="459"/>
              <w:jc w:val="both"/>
            </w:pPr>
            <w:r w:rsidRPr="00F43EED">
              <w:t xml:space="preserve">Серед підприємств непромислових видів економічної діяльності на покращання фінансового результату до оподаткування значно вплинула прибуткова в цілому діяльність підприємств </w:t>
            </w:r>
            <w:r w:rsidRPr="00F43EED">
              <w:rPr>
                <w:i/>
              </w:rPr>
              <w:t>оптової та роздрібної торгівлі; ремонту автотранспортних засобів і мотоциклів</w:t>
            </w:r>
            <w:r w:rsidRPr="00F43EED">
              <w:t xml:space="preserve">, сальдовий фінансовий результат за січень-березень  2016 року яких склав 12,9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прибутку, обсяг якого скоротився в порівнянні із  відповідним періодом минулого року у 5,6 рази, або на 59,0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., 67,5% підприємств зазначеного виду діяльності спрацювали </w:t>
            </w:r>
            <w:proofErr w:type="spellStart"/>
            <w:r w:rsidRPr="00F43EED">
              <w:t>прибутково</w:t>
            </w:r>
            <w:proofErr w:type="spellEnd"/>
            <w:r w:rsidRPr="00F43EED">
              <w:t xml:space="preserve"> (збільшення на 1,5 </w:t>
            </w:r>
            <w:proofErr w:type="spellStart"/>
            <w:r w:rsidRPr="00F43EED">
              <w:t>в.п</w:t>
            </w:r>
            <w:proofErr w:type="spellEnd"/>
            <w:r w:rsidRPr="00F43EED">
              <w:t xml:space="preserve">.), обсяг їх прибутків скоротився у 3,8 і склав 37,3 </w:t>
            </w:r>
            <w:proofErr w:type="spellStart"/>
            <w:r w:rsidRPr="00F43EED">
              <w:t>млн.грн</w:t>
            </w:r>
            <w:proofErr w:type="spellEnd"/>
            <w:r w:rsidRPr="00F43EED">
              <w:t>.</w:t>
            </w:r>
          </w:p>
          <w:p w:rsidR="00E20811" w:rsidRPr="00F43EED" w:rsidRDefault="00E20811" w:rsidP="0000432A">
            <w:pPr>
              <w:suppressAutoHyphens/>
              <w:ind w:firstLine="459"/>
              <w:jc w:val="both"/>
            </w:pPr>
            <w:r w:rsidRPr="00F43EED">
              <w:t xml:space="preserve">Також спрацювали </w:t>
            </w:r>
            <w:proofErr w:type="spellStart"/>
            <w:r w:rsidRPr="00F43EED">
              <w:t>прибутково</w:t>
            </w:r>
            <w:proofErr w:type="spellEnd"/>
            <w:r w:rsidRPr="00F43EED">
              <w:t xml:space="preserve"> підприємства наступних видів діяльності: </w:t>
            </w:r>
          </w:p>
          <w:p w:rsidR="00E20811" w:rsidRPr="00F43EED" w:rsidRDefault="00E20811" w:rsidP="0000432A">
            <w:pPr>
              <w:suppressAutoHyphens/>
              <w:ind w:firstLine="459"/>
              <w:jc w:val="both"/>
            </w:pPr>
            <w:r w:rsidRPr="00F43EED">
              <w:t xml:space="preserve">- </w:t>
            </w:r>
            <w:r w:rsidRPr="00F43EED">
              <w:rPr>
                <w:i/>
              </w:rPr>
              <w:t xml:space="preserve">будівництво </w:t>
            </w:r>
            <w:r w:rsidRPr="00F43EED">
              <w:t xml:space="preserve">– 4,2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прибутку, який в порівнянні з  відповідним періодом минулого року зріс у 2,2 рази або на 2,3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 </w:t>
            </w:r>
            <w:r w:rsidRPr="00F43EED">
              <w:rPr>
                <w:i/>
              </w:rPr>
              <w:t xml:space="preserve">(60% прибуткових підприємств (ріст на 16,7 </w:t>
            </w:r>
            <w:proofErr w:type="spellStart"/>
            <w:r w:rsidRPr="00F43EED">
              <w:rPr>
                <w:i/>
              </w:rPr>
              <w:t>в.п</w:t>
            </w:r>
            <w:proofErr w:type="spellEnd"/>
            <w:r w:rsidRPr="00F43EED">
              <w:rPr>
                <w:i/>
              </w:rPr>
              <w:t xml:space="preserve">. ), сума прибутків скоротилася у 2,5 рази і складає  11,0 </w:t>
            </w:r>
            <w:proofErr w:type="spellStart"/>
            <w:r w:rsidRPr="00F43EED">
              <w:rPr>
                <w:i/>
              </w:rPr>
              <w:t>млн.грн</w:t>
            </w:r>
            <w:proofErr w:type="spellEnd"/>
            <w:r w:rsidRPr="00F43EED">
              <w:rPr>
                <w:i/>
              </w:rPr>
              <w:t>.);</w:t>
            </w:r>
          </w:p>
          <w:p w:rsidR="00E20811" w:rsidRPr="00F43EED" w:rsidRDefault="00E20811" w:rsidP="0000432A">
            <w:pPr>
              <w:suppressAutoHyphens/>
              <w:ind w:firstLine="459"/>
              <w:jc w:val="both"/>
            </w:pPr>
            <w:r w:rsidRPr="00F43EED">
              <w:t xml:space="preserve">- </w:t>
            </w:r>
            <w:r w:rsidRPr="00F43EED">
              <w:rPr>
                <w:i/>
              </w:rPr>
              <w:t xml:space="preserve">інформація та телекомунікації </w:t>
            </w:r>
            <w:r w:rsidRPr="00F43EED">
              <w:t xml:space="preserve">– 21,1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прибутку, який зріс у 1,8 рази або на 9,4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., прибуткових підприємств отримали 21,1 </w:t>
            </w:r>
            <w:proofErr w:type="spellStart"/>
            <w:r w:rsidRPr="00F43EED">
              <w:t>млн.грн</w:t>
            </w:r>
            <w:proofErr w:type="spellEnd"/>
            <w:r w:rsidRPr="00F43EED">
              <w:t>. прибутку, який зріс майже у 1,6 рази);</w:t>
            </w:r>
          </w:p>
          <w:p w:rsidR="00E20811" w:rsidRPr="00F43EED" w:rsidRDefault="00E20811" w:rsidP="0000432A">
            <w:pPr>
              <w:suppressAutoHyphens/>
              <w:ind w:firstLine="459"/>
              <w:jc w:val="both"/>
            </w:pPr>
            <w:r w:rsidRPr="00F43EED">
              <w:lastRenderedPageBreak/>
              <w:t xml:space="preserve">- </w:t>
            </w:r>
            <w:r w:rsidRPr="00F43EED">
              <w:rPr>
                <w:i/>
              </w:rPr>
              <w:t>професійна, наукова та технічна діяльність</w:t>
            </w:r>
            <w:r w:rsidRPr="00F43EED">
              <w:t xml:space="preserve"> –  спрацювали із прибутком у 679,0 </w:t>
            </w:r>
            <w:proofErr w:type="spellStart"/>
            <w:r w:rsidRPr="00F43EED">
              <w:t>тис.грн</w:t>
            </w:r>
            <w:proofErr w:type="spellEnd"/>
            <w:r w:rsidRPr="00F43EED">
              <w:t xml:space="preserve">., який скоротився у 4,3 рази або на 2,2 </w:t>
            </w:r>
            <w:proofErr w:type="spellStart"/>
            <w:r w:rsidRPr="00F43EED">
              <w:t>млн.грн</w:t>
            </w:r>
            <w:proofErr w:type="spellEnd"/>
            <w:r w:rsidRPr="00F43EED">
              <w:rPr>
                <w:i/>
              </w:rPr>
              <w:t xml:space="preserve">, </w:t>
            </w:r>
            <w:r w:rsidRPr="00F43EED">
              <w:t xml:space="preserve">всі 100% підприємств та організацій спрацювали </w:t>
            </w:r>
            <w:proofErr w:type="spellStart"/>
            <w:r w:rsidRPr="00F43EED">
              <w:t>прибутково</w:t>
            </w:r>
            <w:proofErr w:type="spellEnd"/>
            <w:r w:rsidRPr="00F43EED">
              <w:t>.</w:t>
            </w:r>
          </w:p>
          <w:p w:rsidR="00E20811" w:rsidRPr="00F43EED" w:rsidRDefault="00E20811" w:rsidP="0000432A">
            <w:pPr>
              <w:suppressAutoHyphens/>
              <w:ind w:firstLine="459"/>
              <w:jc w:val="both"/>
              <w:rPr>
                <w:i/>
              </w:rPr>
            </w:pPr>
            <w:proofErr w:type="spellStart"/>
            <w:r w:rsidRPr="00F43EED">
              <w:t>Прибутково</w:t>
            </w:r>
            <w:proofErr w:type="spellEnd"/>
            <w:r w:rsidRPr="00F43EED">
              <w:t xml:space="preserve"> спрацювали </w:t>
            </w:r>
            <w:r w:rsidRPr="00F43EED">
              <w:rPr>
                <w:i/>
              </w:rPr>
              <w:t xml:space="preserve">установи охорони здоров’я та надання  соціальної допомоги– </w:t>
            </w:r>
            <w:r w:rsidRPr="00F43EED">
              <w:t xml:space="preserve">отримано майже367 </w:t>
            </w:r>
            <w:proofErr w:type="spellStart"/>
            <w:r w:rsidRPr="00F43EED">
              <w:t>тис.грн</w:t>
            </w:r>
            <w:proofErr w:type="spellEnd"/>
            <w:r w:rsidRPr="00F43EED">
              <w:t xml:space="preserve">. прибутку, тоді як </w:t>
            </w:r>
            <w:proofErr w:type="spellStart"/>
            <w:r w:rsidRPr="00F43EED">
              <w:t>увідповідному</w:t>
            </w:r>
            <w:proofErr w:type="spellEnd"/>
            <w:r w:rsidRPr="00F43EED">
              <w:t xml:space="preserve"> періоді минулого року одержано 2,3 </w:t>
            </w:r>
            <w:proofErr w:type="spellStart"/>
            <w:r w:rsidRPr="00F43EED">
              <w:t>млн.грн</w:t>
            </w:r>
            <w:proofErr w:type="spellEnd"/>
            <w:r w:rsidRPr="00F43EED">
              <w:t>. збитку (</w:t>
            </w:r>
            <w:r w:rsidRPr="00F43EED">
              <w:rPr>
                <w:i/>
              </w:rPr>
              <w:t xml:space="preserve">частка прибуткових установ та організацій зросла  на 3,6 </w:t>
            </w:r>
            <w:proofErr w:type="spellStart"/>
            <w:r w:rsidRPr="00F43EED">
              <w:rPr>
                <w:i/>
              </w:rPr>
              <w:t>в.п</w:t>
            </w:r>
            <w:proofErr w:type="spellEnd"/>
            <w:r w:rsidRPr="00F43EED">
              <w:rPr>
                <w:i/>
              </w:rPr>
              <w:t xml:space="preserve">. і  становить 75%, сума їх прибутків зросла майже у 2,6 рази, і склала 1,6 </w:t>
            </w:r>
            <w:proofErr w:type="spellStart"/>
            <w:r w:rsidRPr="00F43EED">
              <w:rPr>
                <w:i/>
              </w:rPr>
              <w:t>млн.грн</w:t>
            </w:r>
            <w:proofErr w:type="spellEnd"/>
            <w:r w:rsidRPr="00F43EED">
              <w:rPr>
                <w:i/>
              </w:rPr>
              <w:t>.).</w:t>
            </w:r>
          </w:p>
          <w:p w:rsidR="00E20811" w:rsidRPr="00F43EED" w:rsidRDefault="00E20811" w:rsidP="0000432A">
            <w:pPr>
              <w:pStyle w:val="31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</w:p>
          <w:p w:rsidR="00E20811" w:rsidRPr="00F43EED" w:rsidRDefault="00E20811" w:rsidP="0000432A">
            <w:pPr>
              <w:pStyle w:val="31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 xml:space="preserve">На основі  даних Головного управління статистики у Вінницькій області було проведено аналіз неефективної діяльності підприємств окремих видів діяльності економіки області. За 1 квартал 2016 року сума збитків збиткових підприємств скоротилась проти відповідного періоду 2015 року в 2,6 рази і становить 445,8 </w:t>
            </w:r>
            <w:proofErr w:type="spellStart"/>
            <w:r w:rsidRPr="00F43EED">
              <w:rPr>
                <w:sz w:val="24"/>
                <w:szCs w:val="24"/>
              </w:rPr>
              <w:t>млн.грн</w:t>
            </w:r>
            <w:proofErr w:type="spellEnd"/>
            <w:r w:rsidRPr="00F43EED">
              <w:rPr>
                <w:sz w:val="24"/>
                <w:szCs w:val="24"/>
              </w:rPr>
              <w:t>.  В той же час, на 6 відсоткових пунктів скоротилась питома вага підприємств, які отримали в результаті господарської діяльності збитковий фінансовий результат,  і склала  36,2% загальної кількості підприємств та організацій.</w:t>
            </w:r>
          </w:p>
          <w:p w:rsidR="00E20811" w:rsidRPr="00F43EED" w:rsidRDefault="00E20811" w:rsidP="0000432A">
            <w:pPr>
              <w:pStyle w:val="31"/>
              <w:ind w:firstLine="459"/>
              <w:rPr>
                <w:color w:val="FF0000"/>
              </w:rPr>
            </w:pPr>
          </w:p>
          <w:p w:rsidR="00967880" w:rsidRPr="00F43EED" w:rsidRDefault="00967880" w:rsidP="0000432A">
            <w:pPr>
              <w:pStyle w:val="33"/>
              <w:spacing w:after="0"/>
              <w:ind w:left="0" w:firstLine="459"/>
              <w:jc w:val="both"/>
            </w:pPr>
          </w:p>
        </w:tc>
      </w:tr>
      <w:tr w:rsidR="00967880" w:rsidRPr="00F43EED" w:rsidTr="009B32B8">
        <w:trPr>
          <w:trHeight w:val="2692"/>
        </w:trPr>
        <w:tc>
          <w:tcPr>
            <w:tcW w:w="1702" w:type="dxa"/>
            <w:shd w:val="clear" w:color="auto" w:fill="FFFFFF" w:themeFill="background1"/>
          </w:tcPr>
          <w:p w:rsidR="000F3C52" w:rsidRPr="00F43EED" w:rsidRDefault="000F3C52" w:rsidP="000F3C52">
            <w:pPr>
              <w:pStyle w:val="afb"/>
              <w:snapToGrid w:val="0"/>
              <w:rPr>
                <w:i/>
              </w:rPr>
            </w:pPr>
            <w:r w:rsidRPr="00F43EED">
              <w:rPr>
                <w:i/>
              </w:rPr>
              <w:lastRenderedPageBreak/>
              <w:t>Проблемні</w:t>
            </w:r>
          </w:p>
          <w:p w:rsidR="00967880" w:rsidRPr="00F43EED" w:rsidRDefault="000F3C52" w:rsidP="000F3C52">
            <w:pPr>
              <w:pStyle w:val="afb"/>
              <w:snapToGrid w:val="0"/>
              <w:jc w:val="left"/>
              <w:rPr>
                <w:i/>
              </w:rPr>
            </w:pPr>
            <w:r w:rsidRPr="00F43EED">
              <w:rPr>
                <w:i/>
              </w:rPr>
              <w:t>питання</w:t>
            </w:r>
          </w:p>
        </w:tc>
        <w:tc>
          <w:tcPr>
            <w:tcW w:w="9050" w:type="dxa"/>
            <w:shd w:val="clear" w:color="auto" w:fill="FFFFFF" w:themeFill="background1"/>
          </w:tcPr>
          <w:p w:rsidR="00E20811" w:rsidRPr="00F43EED" w:rsidRDefault="00E20811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 xml:space="preserve">За перший квартал 2015 року в цілому промисловість спрацювала </w:t>
            </w:r>
            <w:proofErr w:type="spellStart"/>
            <w:r w:rsidRPr="00F43EED">
              <w:rPr>
                <w:sz w:val="24"/>
                <w:szCs w:val="24"/>
              </w:rPr>
              <w:t>прибутково</w:t>
            </w:r>
            <w:proofErr w:type="spellEnd"/>
            <w:r w:rsidRPr="00F43EED">
              <w:rPr>
                <w:sz w:val="24"/>
                <w:szCs w:val="24"/>
              </w:rPr>
              <w:t xml:space="preserve">, проте серед підприємств   промисловості  </w:t>
            </w:r>
            <w:proofErr w:type="spellStart"/>
            <w:r w:rsidRPr="00F43EED">
              <w:rPr>
                <w:sz w:val="24"/>
                <w:szCs w:val="24"/>
              </w:rPr>
              <w:t>збитково</w:t>
            </w:r>
            <w:proofErr w:type="spellEnd"/>
            <w:r w:rsidRPr="00F43EED">
              <w:rPr>
                <w:sz w:val="24"/>
                <w:szCs w:val="24"/>
              </w:rPr>
              <w:t xml:space="preserve"> спрацювали підприємства наступних видів діяльності: </w:t>
            </w:r>
          </w:p>
          <w:p w:rsidR="00E20811" w:rsidRPr="00F43EED" w:rsidRDefault="00E20811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 xml:space="preserve">- добувна промисловість і розроблення кар’єрів - отримано 1,16 </w:t>
            </w:r>
            <w:proofErr w:type="spellStart"/>
            <w:r w:rsidRPr="00F43EED">
              <w:rPr>
                <w:sz w:val="24"/>
                <w:szCs w:val="24"/>
              </w:rPr>
              <w:t>млн.грн</w:t>
            </w:r>
            <w:proofErr w:type="spellEnd"/>
            <w:r w:rsidRPr="00F43EED">
              <w:rPr>
                <w:sz w:val="24"/>
                <w:szCs w:val="24"/>
              </w:rPr>
              <w:t xml:space="preserve">. збитку, який проти відповідного рівня 2015 року скоротився в 64 рази або на 72,9 </w:t>
            </w:r>
            <w:proofErr w:type="spellStart"/>
            <w:r w:rsidRPr="00F43EED">
              <w:rPr>
                <w:sz w:val="24"/>
                <w:szCs w:val="24"/>
              </w:rPr>
              <w:t>млн.грн</w:t>
            </w:r>
            <w:proofErr w:type="spellEnd"/>
            <w:r w:rsidRPr="00F43EED">
              <w:rPr>
                <w:sz w:val="24"/>
                <w:szCs w:val="24"/>
              </w:rPr>
              <w:t xml:space="preserve">. Частка збиткових підприємств становить 75% (зросла на 3,6 </w:t>
            </w:r>
            <w:proofErr w:type="spellStart"/>
            <w:r w:rsidRPr="00F43EED">
              <w:rPr>
                <w:sz w:val="24"/>
                <w:szCs w:val="24"/>
              </w:rPr>
              <w:t>в.п</w:t>
            </w:r>
            <w:proofErr w:type="spellEnd"/>
            <w:r w:rsidRPr="00F43EED">
              <w:rPr>
                <w:sz w:val="24"/>
                <w:szCs w:val="24"/>
              </w:rPr>
              <w:t xml:space="preserve">), а сума одержаних ними збитків склала 53,8 </w:t>
            </w:r>
            <w:proofErr w:type="spellStart"/>
            <w:r w:rsidRPr="00F43EED">
              <w:rPr>
                <w:sz w:val="24"/>
                <w:szCs w:val="24"/>
              </w:rPr>
              <w:t>млн.грн</w:t>
            </w:r>
            <w:proofErr w:type="spellEnd"/>
            <w:r w:rsidRPr="00F43EED">
              <w:rPr>
                <w:sz w:val="24"/>
                <w:szCs w:val="24"/>
              </w:rPr>
              <w:t xml:space="preserve">. (зменшились на 49,3%); </w:t>
            </w:r>
          </w:p>
          <w:p w:rsidR="00E20811" w:rsidRPr="00F43EED" w:rsidRDefault="00E20811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i/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 xml:space="preserve">- виготовлення виробів з деревини, паперу та поліграфічна діяльність – одержано 75 </w:t>
            </w:r>
            <w:proofErr w:type="spellStart"/>
            <w:r w:rsidRPr="00F43EED">
              <w:rPr>
                <w:sz w:val="24"/>
                <w:szCs w:val="24"/>
              </w:rPr>
              <w:t>млн.грн</w:t>
            </w:r>
            <w:proofErr w:type="spellEnd"/>
            <w:r w:rsidRPr="00F43EED">
              <w:rPr>
                <w:sz w:val="24"/>
                <w:szCs w:val="24"/>
              </w:rPr>
              <w:t xml:space="preserve">. збитку, який до відповідного періоду 2015 року скоротився у 3,5 рази або на 190,9 </w:t>
            </w:r>
            <w:proofErr w:type="spellStart"/>
            <w:r w:rsidRPr="00F43EED">
              <w:rPr>
                <w:sz w:val="24"/>
                <w:szCs w:val="24"/>
              </w:rPr>
              <w:t>млн.грн.Сума</w:t>
            </w:r>
            <w:proofErr w:type="spellEnd"/>
            <w:r w:rsidRPr="00F43EED">
              <w:rPr>
                <w:sz w:val="24"/>
                <w:szCs w:val="24"/>
              </w:rPr>
              <w:t xml:space="preserve"> отриманих збитковими підприємствами збитків скоротилась у 3,6 рази і склала 75,8 </w:t>
            </w:r>
            <w:proofErr w:type="spellStart"/>
            <w:r w:rsidRPr="00F43EED">
              <w:rPr>
                <w:sz w:val="24"/>
                <w:szCs w:val="24"/>
              </w:rPr>
              <w:t>млн.грн</w:t>
            </w:r>
            <w:proofErr w:type="spellEnd"/>
            <w:r w:rsidRPr="00F43EED">
              <w:rPr>
                <w:i/>
                <w:sz w:val="24"/>
                <w:szCs w:val="24"/>
              </w:rPr>
              <w:t xml:space="preserve">. (частка збиткових підприємств становить 50%, зросла на 7,1 </w:t>
            </w:r>
            <w:proofErr w:type="spellStart"/>
            <w:r w:rsidRPr="00F43EED">
              <w:rPr>
                <w:i/>
                <w:sz w:val="24"/>
                <w:szCs w:val="24"/>
              </w:rPr>
              <w:t>в.п</w:t>
            </w:r>
            <w:proofErr w:type="spellEnd"/>
            <w:r w:rsidRPr="00F43EED">
              <w:rPr>
                <w:i/>
                <w:sz w:val="24"/>
                <w:szCs w:val="24"/>
              </w:rPr>
              <w:t>.).</w:t>
            </w:r>
          </w:p>
          <w:p w:rsidR="00E20811" w:rsidRPr="00F43EED" w:rsidRDefault="00E20811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i/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 xml:space="preserve">Значний  вплив на результати діяльності економіки області за січень-березень 2016 року має збиткова в цілому діяльність підприємств </w:t>
            </w:r>
            <w:r w:rsidRPr="00F43EED">
              <w:rPr>
                <w:b/>
                <w:sz w:val="24"/>
                <w:szCs w:val="24"/>
              </w:rPr>
              <w:t xml:space="preserve">транспорту, складського господарства, поштової та кур’єрської діяльності, </w:t>
            </w:r>
            <w:r w:rsidRPr="00F43EED">
              <w:rPr>
                <w:sz w:val="24"/>
                <w:szCs w:val="24"/>
              </w:rPr>
              <w:t xml:space="preserve">які отримали негативний сальдовий фінансовий результат у сумі 79,8 </w:t>
            </w:r>
            <w:proofErr w:type="spellStart"/>
            <w:r w:rsidRPr="00F43EED">
              <w:rPr>
                <w:sz w:val="24"/>
                <w:szCs w:val="24"/>
              </w:rPr>
              <w:t>млн.грн</w:t>
            </w:r>
            <w:proofErr w:type="spellEnd"/>
            <w:r w:rsidRPr="00F43EED">
              <w:rPr>
                <w:sz w:val="24"/>
                <w:szCs w:val="24"/>
              </w:rPr>
              <w:t xml:space="preserve">. збитку, обсяг якого в порівнянні із аналогічним періодом попереднього року зменшився у 2,9 рази або на 151,7 </w:t>
            </w:r>
            <w:proofErr w:type="spellStart"/>
            <w:r w:rsidRPr="00F43EED">
              <w:rPr>
                <w:sz w:val="24"/>
                <w:szCs w:val="24"/>
              </w:rPr>
              <w:t>млн.грн</w:t>
            </w:r>
            <w:proofErr w:type="spellEnd"/>
            <w:r w:rsidRPr="00F43EED">
              <w:rPr>
                <w:sz w:val="24"/>
                <w:szCs w:val="24"/>
              </w:rPr>
              <w:t xml:space="preserve">. Питома вага збиткових підприємств цього виду діяльності зросла на 13,1 </w:t>
            </w:r>
            <w:proofErr w:type="spellStart"/>
            <w:r w:rsidRPr="00F43EED">
              <w:rPr>
                <w:sz w:val="24"/>
                <w:szCs w:val="24"/>
              </w:rPr>
              <w:t>в.п</w:t>
            </w:r>
            <w:proofErr w:type="spellEnd"/>
            <w:r w:rsidRPr="00F43EED">
              <w:rPr>
                <w:sz w:val="24"/>
                <w:szCs w:val="24"/>
              </w:rPr>
              <w:t xml:space="preserve">. і становить 60%, а сума отриманих ними збитків зменшилась у 2,8 рази і склала 89,3 </w:t>
            </w:r>
            <w:proofErr w:type="spellStart"/>
            <w:r w:rsidRPr="00F43EED">
              <w:rPr>
                <w:sz w:val="24"/>
                <w:szCs w:val="24"/>
              </w:rPr>
              <w:t>млн.грн</w:t>
            </w:r>
            <w:proofErr w:type="spellEnd"/>
            <w:r w:rsidRPr="00F43EED">
              <w:rPr>
                <w:i/>
                <w:sz w:val="24"/>
                <w:szCs w:val="24"/>
              </w:rPr>
              <w:t xml:space="preserve">. </w:t>
            </w:r>
          </w:p>
          <w:p w:rsidR="00E20811" w:rsidRPr="00F43EED" w:rsidRDefault="00E20811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proofErr w:type="spellStart"/>
            <w:r w:rsidRPr="00F43EED">
              <w:rPr>
                <w:sz w:val="24"/>
                <w:szCs w:val="24"/>
              </w:rPr>
              <w:t>Збитково</w:t>
            </w:r>
            <w:proofErr w:type="spellEnd"/>
            <w:r w:rsidRPr="00F43EED">
              <w:rPr>
                <w:sz w:val="24"/>
                <w:szCs w:val="24"/>
              </w:rPr>
              <w:t xml:space="preserve"> спрацювали підприємства </w:t>
            </w:r>
            <w:r w:rsidRPr="00F43EED">
              <w:rPr>
                <w:b/>
                <w:sz w:val="24"/>
                <w:szCs w:val="24"/>
              </w:rPr>
              <w:t>у сфері адміністративного та допоміжного обслуговування,</w:t>
            </w:r>
            <w:r w:rsidRPr="00F43EED">
              <w:rPr>
                <w:sz w:val="24"/>
                <w:szCs w:val="24"/>
              </w:rPr>
              <w:t xml:space="preserve"> сума їх збитків у першому кварталі 2016 року становить 908,8 </w:t>
            </w:r>
            <w:proofErr w:type="spellStart"/>
            <w:r w:rsidRPr="00F43EED">
              <w:rPr>
                <w:sz w:val="24"/>
                <w:szCs w:val="24"/>
              </w:rPr>
              <w:t>тис.грн</w:t>
            </w:r>
            <w:proofErr w:type="spellEnd"/>
            <w:r w:rsidRPr="00F43EED">
              <w:rPr>
                <w:sz w:val="24"/>
                <w:szCs w:val="24"/>
              </w:rPr>
              <w:t xml:space="preserve">., тоді як у відповідному періоді минулого року сальдовий фінансовий результат становив 72 </w:t>
            </w:r>
            <w:proofErr w:type="spellStart"/>
            <w:r w:rsidRPr="00F43EED">
              <w:rPr>
                <w:sz w:val="24"/>
                <w:szCs w:val="24"/>
              </w:rPr>
              <w:t>тис.грн</w:t>
            </w:r>
            <w:proofErr w:type="spellEnd"/>
            <w:r w:rsidRPr="00F43EED">
              <w:rPr>
                <w:sz w:val="24"/>
                <w:szCs w:val="24"/>
              </w:rPr>
              <w:t xml:space="preserve">. прибутку. Частка збиткових підприємств зменшилась на 8,2 </w:t>
            </w:r>
            <w:proofErr w:type="spellStart"/>
            <w:r w:rsidRPr="00F43EED">
              <w:rPr>
                <w:sz w:val="24"/>
                <w:szCs w:val="24"/>
              </w:rPr>
              <w:t>в.п</w:t>
            </w:r>
            <w:proofErr w:type="spellEnd"/>
            <w:r w:rsidRPr="00F43EED">
              <w:rPr>
                <w:sz w:val="24"/>
                <w:szCs w:val="24"/>
              </w:rPr>
              <w:t xml:space="preserve">. і складає 38,9%, а сума їх збитків зросла у 2,5 рази і становить 1,1 </w:t>
            </w:r>
            <w:proofErr w:type="spellStart"/>
            <w:r w:rsidRPr="00F43EED">
              <w:rPr>
                <w:sz w:val="24"/>
                <w:szCs w:val="24"/>
              </w:rPr>
              <w:t>млн.грн</w:t>
            </w:r>
            <w:proofErr w:type="spellEnd"/>
            <w:r w:rsidRPr="00F43EED">
              <w:rPr>
                <w:sz w:val="24"/>
                <w:szCs w:val="24"/>
              </w:rPr>
              <w:t>.</w:t>
            </w:r>
          </w:p>
          <w:p w:rsidR="00E20811" w:rsidRPr="00F43EED" w:rsidRDefault="00E20811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 xml:space="preserve">Також збитки отримано в результаті господарської діяльності підприємствами, які займаються </w:t>
            </w:r>
            <w:r w:rsidRPr="00F43EED">
              <w:rPr>
                <w:b/>
                <w:sz w:val="24"/>
                <w:szCs w:val="24"/>
              </w:rPr>
              <w:t xml:space="preserve">тимчасовим розміщенням й організацією харчування </w:t>
            </w:r>
            <w:r w:rsidRPr="00F43EED">
              <w:rPr>
                <w:i/>
                <w:sz w:val="24"/>
                <w:szCs w:val="24"/>
              </w:rPr>
              <w:t xml:space="preserve">– </w:t>
            </w:r>
            <w:r w:rsidRPr="00F43EED">
              <w:rPr>
                <w:sz w:val="24"/>
                <w:szCs w:val="24"/>
              </w:rPr>
              <w:t xml:space="preserve">745 </w:t>
            </w:r>
            <w:proofErr w:type="spellStart"/>
            <w:r w:rsidRPr="00F43EED">
              <w:rPr>
                <w:sz w:val="24"/>
                <w:szCs w:val="24"/>
              </w:rPr>
              <w:t>тис.грн</w:t>
            </w:r>
            <w:proofErr w:type="spellEnd"/>
            <w:r w:rsidRPr="00F43EED">
              <w:rPr>
                <w:sz w:val="24"/>
                <w:szCs w:val="24"/>
              </w:rPr>
              <w:t xml:space="preserve">. збитку,  що зріс до рівня січня-березня  2015 року на 5,7% або на 45 </w:t>
            </w:r>
            <w:proofErr w:type="spellStart"/>
            <w:r w:rsidRPr="00F43EED">
              <w:rPr>
                <w:sz w:val="24"/>
                <w:szCs w:val="24"/>
              </w:rPr>
              <w:t>тис.грн</w:t>
            </w:r>
            <w:proofErr w:type="spellEnd"/>
            <w:r w:rsidRPr="00F43EED">
              <w:rPr>
                <w:sz w:val="24"/>
                <w:szCs w:val="24"/>
              </w:rPr>
              <w:t xml:space="preserve">. </w:t>
            </w:r>
            <w:r w:rsidRPr="00F43EED">
              <w:rPr>
                <w:i/>
                <w:sz w:val="24"/>
                <w:szCs w:val="24"/>
              </w:rPr>
              <w:t xml:space="preserve">(частка збиткових підприємств зменшилась на 10 </w:t>
            </w:r>
            <w:proofErr w:type="spellStart"/>
            <w:r w:rsidRPr="00F43EED">
              <w:rPr>
                <w:i/>
                <w:sz w:val="24"/>
                <w:szCs w:val="24"/>
              </w:rPr>
              <w:t>в.п</w:t>
            </w:r>
            <w:proofErr w:type="spellEnd"/>
            <w:r w:rsidRPr="00F43EED">
              <w:rPr>
                <w:i/>
                <w:sz w:val="24"/>
                <w:szCs w:val="24"/>
              </w:rPr>
              <w:t xml:space="preserve">. і становить 50%, а сума їх збитків зросла на 12,2%, і склала 912 </w:t>
            </w:r>
            <w:proofErr w:type="spellStart"/>
            <w:r w:rsidRPr="00F43EED">
              <w:rPr>
                <w:i/>
                <w:sz w:val="24"/>
                <w:szCs w:val="24"/>
              </w:rPr>
              <w:t>тис.грн</w:t>
            </w:r>
            <w:proofErr w:type="spellEnd"/>
            <w:r w:rsidRPr="00F43EED">
              <w:rPr>
                <w:i/>
                <w:sz w:val="24"/>
                <w:szCs w:val="24"/>
              </w:rPr>
              <w:t xml:space="preserve">.) </w:t>
            </w:r>
          </w:p>
          <w:p w:rsidR="00E20811" w:rsidRPr="00F43EED" w:rsidRDefault="00E20811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</w:p>
          <w:p w:rsidR="00E20811" w:rsidRPr="00F43EED" w:rsidRDefault="00E20811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 xml:space="preserve">При проведенні аналізу фінансово-господарської діяльності підприємств області, можна відмітити основні чинники, що зумовлюють  їх неефективну роботу:  </w:t>
            </w:r>
          </w:p>
          <w:p w:rsidR="00E20811" w:rsidRPr="00F43EED" w:rsidRDefault="00E20811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>1.  Значні втрати від курсових різниць.</w:t>
            </w:r>
          </w:p>
          <w:p w:rsidR="00E20811" w:rsidRPr="00F43EED" w:rsidRDefault="00E20811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 xml:space="preserve">2. Технічно та морально застаріле обладнання у більшості суб'єктів господарювання різних галузей економіки, що призводить до збільшення витрат на </w:t>
            </w:r>
            <w:r w:rsidRPr="00F43EED">
              <w:rPr>
                <w:sz w:val="24"/>
                <w:szCs w:val="24"/>
              </w:rPr>
              <w:lastRenderedPageBreak/>
              <w:t>його обслуговування.</w:t>
            </w:r>
          </w:p>
          <w:p w:rsidR="00E20811" w:rsidRPr="00F43EED" w:rsidRDefault="00E20811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>3. Збільшення витрат за рахунок зростання цін на сировину, матеріали, комплектуючі, енергоносії та тарифів на перевезення вантажів, а також значних сум витрат за надання маркетингових послуг .</w:t>
            </w:r>
          </w:p>
          <w:p w:rsidR="00E20811" w:rsidRPr="00F43EED" w:rsidRDefault="00E20811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 xml:space="preserve">4. Низька завантаженість виробничих </w:t>
            </w:r>
            <w:proofErr w:type="spellStart"/>
            <w:r w:rsidRPr="00F43EED">
              <w:rPr>
                <w:sz w:val="24"/>
                <w:szCs w:val="24"/>
              </w:rPr>
              <w:t>потужностей</w:t>
            </w:r>
            <w:proofErr w:type="spellEnd"/>
            <w:r w:rsidRPr="00F43EED">
              <w:rPr>
                <w:sz w:val="24"/>
                <w:szCs w:val="24"/>
              </w:rPr>
              <w:t xml:space="preserve"> суб'єктів господарювання і в результаті спад обсягів виробництва та реалізації продукції, виконання  робіт  та послуг.</w:t>
            </w:r>
          </w:p>
          <w:p w:rsidR="00E20811" w:rsidRPr="00F43EED" w:rsidRDefault="00E20811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>5. Неможливість реалізації виконання раніше укладених договорів у зв’язку із рядом економічних і політичних факторів, які негативно вплинули на виконання зобов’язань, згідно договорів закупівлі-продажу, а також припинення господарської діяльності ряду суб'єктів господарювання.</w:t>
            </w:r>
          </w:p>
          <w:p w:rsidR="00E20811" w:rsidRPr="00F43EED" w:rsidRDefault="00E20811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 xml:space="preserve">6. Наявність великих обсягів взаємних </w:t>
            </w:r>
            <w:proofErr w:type="spellStart"/>
            <w:r w:rsidRPr="00F43EED">
              <w:rPr>
                <w:sz w:val="24"/>
                <w:szCs w:val="24"/>
              </w:rPr>
              <w:t>неплатежів</w:t>
            </w:r>
            <w:proofErr w:type="spellEnd"/>
            <w:r w:rsidRPr="00F43EED">
              <w:rPr>
                <w:sz w:val="24"/>
                <w:szCs w:val="24"/>
              </w:rPr>
              <w:t xml:space="preserve"> (значні суми дебіторської та кредиторської заборгованості).</w:t>
            </w:r>
          </w:p>
          <w:p w:rsidR="00E20811" w:rsidRPr="00F43EED" w:rsidRDefault="00E20811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>7. Реалізація основних засобів за ціною, нижчою ніж залишкова вартість.</w:t>
            </w:r>
          </w:p>
          <w:p w:rsidR="00E20811" w:rsidRPr="00F43EED" w:rsidRDefault="00E20811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 xml:space="preserve">8. Збільшення загальновиробничих витрат та значний дефіцит обігових коштів, покриття якого за рахунок короткотермінових кредитів в умовах фінансової та банківської кризи в Україні є проблематичним. </w:t>
            </w:r>
          </w:p>
          <w:p w:rsidR="00E20811" w:rsidRPr="00F43EED" w:rsidRDefault="00E20811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>9. Відсутність дієвого механізму залучення інвестицій для діяльності суб'єктів господарювання державного сектору економіки області.</w:t>
            </w:r>
          </w:p>
          <w:p w:rsidR="00E20811" w:rsidRPr="00F43EED" w:rsidRDefault="00E20811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>10. Відсутність можливості реалізовувати продукцію у південні та східні регіони України в зв’язку із втратою частини споживачів продукції підприємств області із-за проведення там військових дій   та окупації Криму.</w:t>
            </w:r>
          </w:p>
          <w:p w:rsidR="00E20811" w:rsidRPr="00F43EED" w:rsidRDefault="00E20811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>З метою досягнення беззбиткової діяльності суб’єктів господарювання  та нарощення надходжень до бюджету області в 2016 році виконуються «</w:t>
            </w:r>
            <w:r w:rsidRPr="00F43EED">
              <w:rPr>
                <w:sz w:val="24"/>
                <w:szCs w:val="24"/>
                <w:u w:val="single"/>
              </w:rPr>
              <w:t>Заходи щодо забезпечення економічного розвитку Вінницької області, подоланню збитковості підприємств та збільшення бази оподаткування на 2016 рік</w:t>
            </w:r>
            <w:r w:rsidRPr="00F43EED">
              <w:rPr>
                <w:sz w:val="24"/>
                <w:szCs w:val="24"/>
              </w:rPr>
              <w:t>», які затверджені першим заступником голови обласної державної адміністрації  від 24.02.2016 року №01.01-11/1276.</w:t>
            </w:r>
          </w:p>
          <w:p w:rsidR="00E20811" w:rsidRPr="00F43EED" w:rsidRDefault="00E20811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>Облдержадміністрацією постійно проводяться заходи по поліпшенню інвестиційного клімату в області для залучення коштів зовнішніх та внутрішніх інвесторів до виробничого комплексу.</w:t>
            </w:r>
          </w:p>
          <w:p w:rsidR="00E20811" w:rsidRPr="00F43EED" w:rsidRDefault="00E20811" w:rsidP="0000432A">
            <w:pPr>
              <w:pStyle w:val="33"/>
              <w:suppressAutoHyphens/>
              <w:spacing w:after="0"/>
              <w:ind w:left="0" w:firstLine="459"/>
              <w:jc w:val="both"/>
              <w:rPr>
                <w:sz w:val="24"/>
                <w:szCs w:val="24"/>
              </w:rPr>
            </w:pPr>
            <w:r w:rsidRPr="00F43EED">
              <w:rPr>
                <w:sz w:val="24"/>
                <w:szCs w:val="24"/>
              </w:rPr>
              <w:t xml:space="preserve">З метою поширення інформації щодо інвестиційної привабливості, створення позитивного інвестиційного іміджу на веб-сайті обласної державної адміністрації, інвестиційному порталі </w:t>
            </w:r>
            <w:hyperlink r:id="rId8" w:history="1">
              <w:r w:rsidRPr="00F43EED">
                <w:rPr>
                  <w:rStyle w:val="a3"/>
                  <w:sz w:val="24"/>
                  <w:szCs w:val="24"/>
                </w:rPr>
                <w:t>www</w:t>
              </w:r>
            </w:hyperlink>
            <w:hyperlink r:id="rId9" w:history="1">
              <w:r w:rsidRPr="00F43EED">
                <w:rPr>
                  <w:rStyle w:val="a3"/>
                  <w:sz w:val="24"/>
                  <w:szCs w:val="24"/>
                </w:rPr>
                <w:t>.</w:t>
              </w:r>
            </w:hyperlink>
            <w:hyperlink r:id="rId10" w:history="1">
              <w:r w:rsidRPr="00F43EED">
                <w:rPr>
                  <w:rStyle w:val="a3"/>
                  <w:sz w:val="24"/>
                  <w:szCs w:val="24"/>
                </w:rPr>
                <w:t>vininvest</w:t>
              </w:r>
            </w:hyperlink>
            <w:hyperlink r:id="rId11" w:history="1">
              <w:r w:rsidRPr="00F43EED">
                <w:rPr>
                  <w:rStyle w:val="a3"/>
                  <w:sz w:val="24"/>
                  <w:szCs w:val="24"/>
                </w:rPr>
                <w:t>.</w:t>
              </w:r>
            </w:hyperlink>
            <w:hyperlink r:id="rId12" w:history="1">
              <w:r w:rsidRPr="00F43EED">
                <w:rPr>
                  <w:rStyle w:val="a3"/>
                  <w:sz w:val="24"/>
                  <w:szCs w:val="24"/>
                </w:rPr>
                <w:t>gov</w:t>
              </w:r>
            </w:hyperlink>
            <w:hyperlink r:id="rId13" w:history="1">
              <w:r w:rsidRPr="00F43EED">
                <w:rPr>
                  <w:rStyle w:val="a3"/>
                  <w:sz w:val="24"/>
                  <w:szCs w:val="24"/>
                </w:rPr>
                <w:t>.</w:t>
              </w:r>
            </w:hyperlink>
            <w:hyperlink r:id="rId14" w:history="1">
              <w:r w:rsidRPr="00F43EED">
                <w:rPr>
                  <w:rStyle w:val="a3"/>
                  <w:sz w:val="24"/>
                  <w:szCs w:val="24"/>
                </w:rPr>
                <w:t>ua</w:t>
              </w:r>
            </w:hyperlink>
            <w:r w:rsidRPr="00F43EED">
              <w:rPr>
                <w:sz w:val="24"/>
                <w:szCs w:val="24"/>
              </w:rPr>
              <w:t xml:space="preserve">, у базі даних інвестиційних об’єктів проекту «Місцевий економічний розвиток» </w:t>
            </w:r>
            <w:r w:rsidRPr="00F43EED">
              <w:rPr>
                <w:sz w:val="24"/>
                <w:szCs w:val="24"/>
                <w:lang w:val="en-US"/>
              </w:rPr>
              <w:t>www</w:t>
            </w:r>
            <w:r w:rsidRPr="00F43EED">
              <w:rPr>
                <w:sz w:val="24"/>
                <w:szCs w:val="24"/>
              </w:rPr>
              <w:t>.</w:t>
            </w:r>
            <w:proofErr w:type="spellStart"/>
            <w:r w:rsidRPr="00F43EED">
              <w:rPr>
                <w:sz w:val="24"/>
                <w:szCs w:val="24"/>
                <w:lang w:val="en-US"/>
              </w:rPr>
              <w:t>investmentproperty</w:t>
            </w:r>
            <w:proofErr w:type="spellEnd"/>
            <w:r w:rsidRPr="00F43EED">
              <w:rPr>
                <w:sz w:val="24"/>
                <w:szCs w:val="24"/>
              </w:rPr>
              <w:t>.</w:t>
            </w:r>
            <w:r w:rsidRPr="00F43EED">
              <w:rPr>
                <w:sz w:val="24"/>
                <w:szCs w:val="24"/>
                <w:lang w:val="en-US"/>
              </w:rPr>
              <w:t>in</w:t>
            </w:r>
            <w:r w:rsidRPr="00F43EED">
              <w:rPr>
                <w:sz w:val="24"/>
                <w:szCs w:val="24"/>
              </w:rPr>
              <w:t>.</w:t>
            </w:r>
            <w:proofErr w:type="spellStart"/>
            <w:r w:rsidRPr="00F43EED">
              <w:rPr>
                <w:sz w:val="24"/>
                <w:szCs w:val="24"/>
                <w:lang w:val="en-US"/>
              </w:rPr>
              <w:t>ua</w:t>
            </w:r>
            <w:proofErr w:type="spellEnd"/>
            <w:r w:rsidRPr="00F43EED">
              <w:rPr>
                <w:sz w:val="24"/>
                <w:szCs w:val="24"/>
              </w:rPr>
              <w:t xml:space="preserve">, на сторінках окремих управлінь та органів місцевого самоврядування розміщуються та постійно оновлюються анкети інвестиційних проектів. Презентаційний компакт-диск «Вінниччина інвестиційна» розповсюджується під час проведення заходів інвестиційної тематики.        </w:t>
            </w:r>
          </w:p>
          <w:p w:rsidR="000F3C52" w:rsidRPr="00F43EED" w:rsidRDefault="00E20811" w:rsidP="00EF07DD">
            <w:pPr>
              <w:pStyle w:val="33"/>
              <w:suppressAutoHyphens/>
              <w:spacing w:after="0"/>
              <w:ind w:left="0" w:firstLine="459"/>
              <w:jc w:val="both"/>
            </w:pPr>
            <w:r w:rsidRPr="00F43EED">
              <w:rPr>
                <w:sz w:val="24"/>
                <w:szCs w:val="24"/>
              </w:rPr>
              <w:t>Окрім цього з метою розвитку та підтримки сприятливого інвестиційного середовища Вінницької області і поглиблення міжнародної співпраці обласною державною адміністрацією були підготовлені буклети англійською мовою для розповсюдження при проведенні міжнародних заходів та візитів делегацій Вінницької області за кордон.</w:t>
            </w:r>
          </w:p>
          <w:p w:rsidR="00967880" w:rsidRPr="00F43EED" w:rsidRDefault="00967880" w:rsidP="0000432A">
            <w:pPr>
              <w:suppressAutoHyphens/>
              <w:ind w:firstLine="459"/>
              <w:jc w:val="both"/>
            </w:pPr>
          </w:p>
        </w:tc>
      </w:tr>
    </w:tbl>
    <w:p w:rsidR="00491A6D" w:rsidRPr="00F43EED" w:rsidRDefault="00491A6D" w:rsidP="00CB796B">
      <w:pPr>
        <w:pStyle w:val="32"/>
        <w:spacing w:after="0"/>
        <w:ind w:firstLine="284"/>
        <w:jc w:val="center"/>
        <w:outlineLvl w:val="0"/>
        <w:rPr>
          <w:b/>
          <w:sz w:val="24"/>
          <w:szCs w:val="24"/>
        </w:rPr>
      </w:pPr>
    </w:p>
    <w:p w:rsidR="00680542" w:rsidRPr="00F43EED" w:rsidRDefault="00990799" w:rsidP="00CB796B">
      <w:pPr>
        <w:pStyle w:val="32"/>
        <w:spacing w:after="0"/>
        <w:ind w:firstLine="284"/>
        <w:jc w:val="center"/>
        <w:outlineLvl w:val="0"/>
        <w:rPr>
          <w:b/>
          <w:sz w:val="24"/>
          <w:szCs w:val="24"/>
        </w:rPr>
      </w:pPr>
      <w:r w:rsidRPr="00F43EED">
        <w:rPr>
          <w:b/>
          <w:sz w:val="24"/>
          <w:szCs w:val="24"/>
        </w:rPr>
        <w:t>ПОДАТКОВІ НАДХОДЖЕННЯ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8930"/>
      </w:tblGrid>
      <w:tr w:rsidR="00A156B8" w:rsidRPr="00F43EED" w:rsidTr="00251ED5">
        <w:trPr>
          <w:trHeight w:val="424"/>
        </w:trPr>
        <w:tc>
          <w:tcPr>
            <w:tcW w:w="1702" w:type="dxa"/>
            <w:shd w:val="clear" w:color="auto" w:fill="auto"/>
          </w:tcPr>
          <w:p w:rsidR="00A156B8" w:rsidRPr="00F43EED" w:rsidRDefault="00A156B8" w:rsidP="00CB796B">
            <w:pPr>
              <w:pStyle w:val="af4"/>
              <w:snapToGrid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</w:pPr>
            <w:r w:rsidRPr="00F43EE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Виконання показників Зведеного та Державного бюджетів</w:t>
            </w:r>
          </w:p>
        </w:tc>
        <w:tc>
          <w:tcPr>
            <w:tcW w:w="8930" w:type="dxa"/>
            <w:shd w:val="clear" w:color="auto" w:fill="auto"/>
          </w:tcPr>
          <w:p w:rsidR="00E20811" w:rsidRPr="00F43EED" w:rsidRDefault="00E20811" w:rsidP="0000432A">
            <w:pPr>
              <w:suppressAutoHyphens/>
              <w:snapToGrid w:val="0"/>
              <w:ind w:firstLine="459"/>
              <w:jc w:val="both"/>
            </w:pPr>
            <w:r w:rsidRPr="00F43EED">
              <w:t xml:space="preserve">Відповідно до  даних  Головного управління державної казначейської служби України у Вінницькій області, надходження до Зведеного бюджету області, з врахуванням платежів, які адмініструє Головне управління Державної фіскальної служби у Вінницькій області, Вінницька митниця ДФС та надходжень інших міністерств і відомств, зросли за січень-квітень 2016 року в порівнянні з січнем-квітнем 2015 року на 10,4%, або на 251,8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і становлять 2662,1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В тому числі надходження до Державного бюджету склали 1188,6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., їх обсяг скоротився  на 15%, або на 209,7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</w:t>
            </w:r>
          </w:p>
          <w:p w:rsidR="00E20811" w:rsidRPr="00F43EED" w:rsidRDefault="00E20811" w:rsidP="0000432A">
            <w:pPr>
              <w:suppressAutoHyphens/>
              <w:ind w:firstLine="459"/>
              <w:jc w:val="both"/>
            </w:pPr>
            <w:r w:rsidRPr="00F43EED">
              <w:lastRenderedPageBreak/>
              <w:t>В тому числі, відповідно до оперативних даних Головного управління ДФС у Вінницькій області протягом січня-квітня 2016 року до бюджетів усіх рівнів зібрано 2139,8 </w:t>
            </w:r>
            <w:proofErr w:type="spellStart"/>
            <w:r w:rsidRPr="00F43EED">
              <w:t>млн.грн</w:t>
            </w:r>
            <w:proofErr w:type="spellEnd"/>
            <w:r w:rsidRPr="00F43EED">
              <w:t>. податків і зборів, що на 25,8% (+439,4 </w:t>
            </w:r>
            <w:proofErr w:type="spellStart"/>
            <w:r w:rsidRPr="00F43EED">
              <w:t>млн.грн</w:t>
            </w:r>
            <w:proofErr w:type="spellEnd"/>
            <w:r w:rsidRPr="00F43EED">
              <w:t>.) більше ніж у січні-квітні 2015 року.</w:t>
            </w:r>
          </w:p>
          <w:p w:rsidR="00E20811" w:rsidRPr="00F43EED" w:rsidRDefault="00E20811" w:rsidP="0000432A">
            <w:pPr>
              <w:suppressAutoHyphens/>
              <w:ind w:firstLine="459"/>
              <w:jc w:val="both"/>
            </w:pPr>
            <w:r w:rsidRPr="00F43EED">
              <w:t xml:space="preserve">До Державного бюджету в тому числі зібрано 921,9 </w:t>
            </w:r>
            <w:proofErr w:type="spellStart"/>
            <w:r w:rsidRPr="00F43EED">
              <w:t>млн.грн</w:t>
            </w:r>
            <w:proofErr w:type="spellEnd"/>
            <w:r w:rsidRPr="00F43EED">
              <w:t>., що на 52,8</w:t>
            </w:r>
            <w:r w:rsidRPr="00F43EED">
              <w:rPr>
                <w:lang w:val="en-US"/>
              </w:rPr>
              <w:t> </w:t>
            </w:r>
            <w:proofErr w:type="spellStart"/>
            <w:r w:rsidRPr="00F43EED">
              <w:t>млн.грн</w:t>
            </w:r>
            <w:proofErr w:type="spellEnd"/>
            <w:r w:rsidRPr="00F43EED">
              <w:t>., або на 6,1%  більше аналогічного періоду минулого року  (з урахуванням 73,8 </w:t>
            </w:r>
            <w:proofErr w:type="spellStart"/>
            <w:r w:rsidRPr="00F43EED">
              <w:t>млн.грн</w:t>
            </w:r>
            <w:proofErr w:type="spellEnd"/>
            <w:r w:rsidRPr="00F43EED">
              <w:t>. надходжень податку на прибуток по великих платниках податків).</w:t>
            </w:r>
          </w:p>
          <w:p w:rsidR="00E20811" w:rsidRPr="00F43EED" w:rsidRDefault="00E20811" w:rsidP="0000432A">
            <w:pPr>
              <w:suppressAutoHyphens/>
              <w:ind w:firstLine="459"/>
              <w:jc w:val="both"/>
            </w:pPr>
          </w:p>
          <w:p w:rsidR="00E20811" w:rsidRPr="00F43EED" w:rsidRDefault="00E20811" w:rsidP="0000432A">
            <w:pPr>
              <w:suppressAutoHyphens/>
              <w:ind w:firstLine="459"/>
              <w:jc w:val="both"/>
            </w:pPr>
            <w:r w:rsidRPr="00F43EED">
              <w:t>Збільшення збору платежів відбулося, незважаючи на перехід з 01.01.2016 року 26 підприємств області (відповідно до наказу ДФС України від 08.09.2015 року №681), включених до Реєстру великих платників на 2016 рік, на обслуговування до спеціалізованих податкових органів. У січні-квітні минулого року від цих платників до державного бюджету, на території області, надійшло 309,8 </w:t>
            </w:r>
            <w:proofErr w:type="spellStart"/>
            <w:r w:rsidRPr="00F43EED">
              <w:t>млн.грн.,тоді</w:t>
            </w:r>
            <w:proofErr w:type="spellEnd"/>
            <w:r w:rsidRPr="00F43EED">
              <w:t xml:space="preserve"> як у січні-квітні  2016 року лише 97 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</w:t>
            </w:r>
          </w:p>
          <w:p w:rsidR="00E20811" w:rsidRPr="00F43EED" w:rsidRDefault="00E20811" w:rsidP="0000432A">
            <w:pPr>
              <w:suppressAutoHyphens/>
              <w:ind w:firstLine="459"/>
              <w:jc w:val="both"/>
              <w:rPr>
                <w:i/>
              </w:rPr>
            </w:pPr>
            <w:r w:rsidRPr="00F43EED">
              <w:t xml:space="preserve">З урахуванням бюджетного відшкодування грошовими коштами податку на додану вартість </w:t>
            </w:r>
            <w:r w:rsidRPr="00F43EED">
              <w:rPr>
                <w:i/>
              </w:rPr>
              <w:t xml:space="preserve">(319,8 </w:t>
            </w:r>
            <w:proofErr w:type="spellStart"/>
            <w:r w:rsidRPr="00F43EED">
              <w:rPr>
                <w:i/>
              </w:rPr>
              <w:t>млн.грн</w:t>
            </w:r>
            <w:proofErr w:type="spellEnd"/>
            <w:r w:rsidRPr="00F43EED">
              <w:rPr>
                <w:i/>
              </w:rPr>
              <w:t>., ріст  до січня-квітня 2015 року на 47,1%)</w:t>
            </w:r>
            <w:r w:rsidRPr="00F43EED">
              <w:t xml:space="preserve">, фактичні надходження до Зведеного бюджету за січень-квітень 2016 року  склали 1820,0 </w:t>
            </w:r>
            <w:proofErr w:type="spellStart"/>
            <w:r w:rsidRPr="00F43EED">
              <w:t>млн.грн</w:t>
            </w:r>
            <w:proofErr w:type="spellEnd"/>
            <w:r w:rsidRPr="00F43EED">
              <w:t>. (</w:t>
            </w:r>
            <w:r w:rsidRPr="00F43EED">
              <w:rPr>
                <w:i/>
              </w:rPr>
              <w:t xml:space="preserve">зросли на 337 </w:t>
            </w:r>
            <w:proofErr w:type="spellStart"/>
            <w:r w:rsidRPr="00F43EED">
              <w:rPr>
                <w:i/>
              </w:rPr>
              <w:t>млн.грн</w:t>
            </w:r>
            <w:proofErr w:type="spellEnd"/>
            <w:r w:rsidRPr="00F43EED">
              <w:rPr>
                <w:i/>
              </w:rPr>
              <w:t>., або на 22,7%)</w:t>
            </w:r>
            <w:r w:rsidRPr="00F43EED">
              <w:t xml:space="preserve"> а до Державного бюджету - відповідно 602,1 </w:t>
            </w:r>
            <w:proofErr w:type="spellStart"/>
            <w:r w:rsidRPr="00F43EED">
              <w:t>млн.грн</w:t>
            </w:r>
            <w:proofErr w:type="spellEnd"/>
            <w:r w:rsidRPr="00F43EED">
              <w:rPr>
                <w:i/>
              </w:rPr>
              <w:t xml:space="preserve">. (скоротились на 49,7 </w:t>
            </w:r>
            <w:proofErr w:type="spellStart"/>
            <w:r w:rsidRPr="00F43EED">
              <w:rPr>
                <w:i/>
              </w:rPr>
              <w:t>млн.грн</w:t>
            </w:r>
            <w:proofErr w:type="spellEnd"/>
            <w:r w:rsidRPr="00F43EED">
              <w:rPr>
                <w:i/>
              </w:rPr>
              <w:t>., або на 7,6%).</w:t>
            </w:r>
          </w:p>
          <w:p w:rsidR="00E20811" w:rsidRPr="00F43EED" w:rsidRDefault="00E20811" w:rsidP="0000432A">
            <w:pPr>
              <w:suppressAutoHyphens/>
              <w:ind w:firstLine="459"/>
              <w:jc w:val="both"/>
              <w:rPr>
                <w:i/>
              </w:rPr>
            </w:pPr>
            <w:r w:rsidRPr="00F43EED">
              <w:t xml:space="preserve">Питома вага надходжень до державного бюджету у структурі бюджетів усіх рівнів зменшилась на 10,8 відсоткових пункти і складає 33,1% </w:t>
            </w:r>
            <w:r w:rsidRPr="00F43EED">
              <w:rPr>
                <w:i/>
              </w:rPr>
              <w:t xml:space="preserve">(збір податків і зборів -  відповідно 43,1% та на 8  </w:t>
            </w:r>
            <w:proofErr w:type="spellStart"/>
            <w:r w:rsidRPr="00F43EED">
              <w:rPr>
                <w:i/>
              </w:rPr>
              <w:t>в.п</w:t>
            </w:r>
            <w:proofErr w:type="spellEnd"/>
            <w:r w:rsidRPr="00F43EED">
              <w:rPr>
                <w:i/>
              </w:rPr>
              <w:t>. менше).</w:t>
            </w:r>
          </w:p>
          <w:p w:rsidR="00E20811" w:rsidRPr="00F43EED" w:rsidRDefault="00E20811" w:rsidP="0000432A">
            <w:pPr>
              <w:suppressAutoHyphens/>
              <w:ind w:firstLine="459"/>
              <w:jc w:val="both"/>
            </w:pPr>
            <w:r w:rsidRPr="00F43EED">
              <w:t>В структурі надходжень до Зведеного бюджету по Вінницькій області за  січень-квітень 2016 року найбільшу питому вагу займають: податок з доходів фізичних осіб – 50,7% (</w:t>
            </w:r>
            <w:r w:rsidRPr="00F43EED">
              <w:rPr>
                <w:i/>
              </w:rPr>
              <w:t xml:space="preserve">його сума становила 923 </w:t>
            </w:r>
            <w:proofErr w:type="spellStart"/>
            <w:r w:rsidRPr="00F43EED">
              <w:rPr>
                <w:i/>
              </w:rPr>
              <w:t>млн.грн</w:t>
            </w:r>
            <w:proofErr w:type="spellEnd"/>
            <w:r w:rsidRPr="00F43EED">
              <w:t xml:space="preserve">.), податок на прибуток – 12,5% </w:t>
            </w:r>
            <w:r w:rsidRPr="00F43EED">
              <w:rPr>
                <w:i/>
              </w:rPr>
              <w:t xml:space="preserve">(227 </w:t>
            </w:r>
            <w:proofErr w:type="spellStart"/>
            <w:r w:rsidRPr="00F43EED">
              <w:rPr>
                <w:i/>
              </w:rPr>
              <w:t>млн.грн</w:t>
            </w:r>
            <w:proofErr w:type="spellEnd"/>
            <w:r w:rsidRPr="00F43EED">
              <w:rPr>
                <w:i/>
              </w:rPr>
              <w:t xml:space="preserve">.), </w:t>
            </w:r>
            <w:r w:rsidRPr="00F43EED">
              <w:t>єдиний податок – 10,4 % (</w:t>
            </w:r>
            <w:r w:rsidRPr="00F43EED">
              <w:rPr>
                <w:i/>
              </w:rPr>
              <w:t xml:space="preserve">189,5 </w:t>
            </w:r>
            <w:proofErr w:type="spellStart"/>
            <w:r w:rsidRPr="00F43EED">
              <w:rPr>
                <w:i/>
              </w:rPr>
              <w:t>млн.грн</w:t>
            </w:r>
            <w:proofErr w:type="spellEnd"/>
            <w:r w:rsidRPr="00F43EED">
              <w:rPr>
                <w:i/>
              </w:rPr>
              <w:t xml:space="preserve">.), </w:t>
            </w:r>
            <w:r w:rsidRPr="00F43EED">
              <w:t>плата за землю – 10% (</w:t>
            </w:r>
            <w:r w:rsidRPr="00F43EED">
              <w:rPr>
                <w:i/>
              </w:rPr>
              <w:t xml:space="preserve">182,8 </w:t>
            </w:r>
            <w:proofErr w:type="spellStart"/>
            <w:r w:rsidRPr="00F43EED">
              <w:rPr>
                <w:i/>
              </w:rPr>
              <w:t>млн.грн</w:t>
            </w:r>
            <w:proofErr w:type="spellEnd"/>
            <w:r w:rsidRPr="00F43EED">
              <w:rPr>
                <w:i/>
              </w:rPr>
              <w:t>.</w:t>
            </w:r>
            <w:r w:rsidRPr="00F43EED">
              <w:t xml:space="preserve">), акцизний податок з реалізації підакцизних товарів – 5,5% </w:t>
            </w:r>
            <w:r w:rsidRPr="00F43EED">
              <w:rPr>
                <w:i/>
              </w:rPr>
              <w:t>(100,2 млн. грн.),</w:t>
            </w:r>
            <w:r w:rsidRPr="00F43EED">
              <w:t xml:space="preserve"> військовий збір  - 4,5% </w:t>
            </w:r>
            <w:r w:rsidRPr="00F43EED">
              <w:rPr>
                <w:i/>
              </w:rPr>
              <w:t xml:space="preserve">(82,5 </w:t>
            </w:r>
            <w:proofErr w:type="spellStart"/>
            <w:r w:rsidRPr="00F43EED">
              <w:rPr>
                <w:i/>
              </w:rPr>
              <w:t>млн.грн</w:t>
            </w:r>
            <w:proofErr w:type="spellEnd"/>
            <w:r w:rsidRPr="00F43EED">
              <w:rPr>
                <w:i/>
              </w:rPr>
              <w:t>.)</w:t>
            </w:r>
            <w:r w:rsidRPr="00F43EED">
              <w:t xml:space="preserve"> та інші.</w:t>
            </w:r>
          </w:p>
          <w:p w:rsidR="00E20811" w:rsidRPr="00F43EED" w:rsidRDefault="00E20811" w:rsidP="0000432A">
            <w:pPr>
              <w:suppressAutoHyphens/>
              <w:ind w:firstLine="459"/>
              <w:jc w:val="both"/>
            </w:pPr>
            <w:r w:rsidRPr="00F43EED">
              <w:t xml:space="preserve">За 4 місяці  2016 року  забезпечено приріст надходжень: податку на доходи фізичних осіб – в 1,5 рази (+321,8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.), податку на прибуток підприємств – на 25,3% (+45,9 </w:t>
            </w:r>
            <w:proofErr w:type="spellStart"/>
            <w:r w:rsidRPr="00F43EED">
              <w:t>млн.грн</w:t>
            </w:r>
            <w:proofErr w:type="spellEnd"/>
            <w:r w:rsidRPr="00F43EED">
              <w:t>.), військового збору – на 30% (+19,05</w:t>
            </w:r>
            <w:r w:rsidRPr="00F43EED">
              <w:rPr>
                <w:lang w:val="en-US"/>
              </w:rPr>
              <w:t> </w:t>
            </w:r>
            <w:proofErr w:type="spellStart"/>
            <w:r w:rsidRPr="00F43EED">
              <w:t>млн.грн</w:t>
            </w:r>
            <w:proofErr w:type="spellEnd"/>
            <w:r w:rsidRPr="00F43EED">
              <w:t>.), частини прибутку господарських організацій - у 1,7 рази (+2,1 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.), збору у вигляді цільової надбавки до діючого тарифу на природний газ – у 15,6 рази (+ 7,8 </w:t>
            </w:r>
            <w:proofErr w:type="spellStart"/>
            <w:r w:rsidRPr="00F43EED">
              <w:t>млн.грн</w:t>
            </w:r>
            <w:proofErr w:type="spellEnd"/>
            <w:r w:rsidRPr="00F43EED">
              <w:t>.), єдиного податку – в 1,6 рази (+73,7</w:t>
            </w:r>
            <w:r w:rsidRPr="00F43EED">
              <w:rPr>
                <w:lang w:val="en-US"/>
              </w:rPr>
              <w:t> </w:t>
            </w:r>
            <w:proofErr w:type="spellStart"/>
            <w:r w:rsidRPr="00F43EED">
              <w:t>млн.грн</w:t>
            </w:r>
            <w:proofErr w:type="spellEnd"/>
            <w:r w:rsidRPr="00F43EED">
              <w:t>.), плати за землю – на 39,3% (+51,5 </w:t>
            </w:r>
            <w:proofErr w:type="spellStart"/>
            <w:r w:rsidRPr="00F43EED">
              <w:t>млн.грн</w:t>
            </w:r>
            <w:proofErr w:type="spellEnd"/>
            <w:r w:rsidRPr="00F43EED">
              <w:t>.) тощо.</w:t>
            </w:r>
          </w:p>
          <w:p w:rsidR="00E20811" w:rsidRPr="00F43EED" w:rsidRDefault="00E20811" w:rsidP="0000432A">
            <w:pPr>
              <w:tabs>
                <w:tab w:val="left" w:pos="8822"/>
                <w:tab w:val="left" w:pos="9639"/>
              </w:tabs>
              <w:suppressAutoHyphens/>
              <w:ind w:firstLine="459"/>
              <w:jc w:val="both"/>
            </w:pPr>
          </w:p>
          <w:p w:rsidR="00E20811" w:rsidRPr="00F43EED" w:rsidRDefault="00E20811" w:rsidP="0000432A">
            <w:pPr>
              <w:tabs>
                <w:tab w:val="left" w:pos="8822"/>
                <w:tab w:val="left" w:pos="9639"/>
              </w:tabs>
              <w:suppressAutoHyphens/>
              <w:ind w:firstLine="459"/>
              <w:jc w:val="both"/>
            </w:pPr>
            <w:r w:rsidRPr="00F43EED">
              <w:t xml:space="preserve">Найбільші суми податків до бюджетів усіх рівнів сплачено підприємствами промисловості. Протягом січня-квітня 2016 року до Зведеного бюджету від них надійшло 403,3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(19,6% від загального збору платежів по області). До Державного бюджету України промисловим комплексом області сплачено 208,3 </w:t>
            </w:r>
            <w:proofErr w:type="spellStart"/>
            <w:r w:rsidRPr="00F43EED">
              <w:t>млн.грн</w:t>
            </w:r>
            <w:proofErr w:type="spellEnd"/>
            <w:r w:rsidRPr="00F43EED">
              <w:t>. (24,6% від загального збору податків до державного бюджету по області).</w:t>
            </w:r>
          </w:p>
          <w:p w:rsidR="00E20811" w:rsidRPr="00F43EED" w:rsidRDefault="00E20811" w:rsidP="0000432A">
            <w:pPr>
              <w:tabs>
                <w:tab w:val="left" w:pos="8822"/>
                <w:tab w:val="left" w:pos="9639"/>
              </w:tabs>
              <w:suppressAutoHyphens/>
              <w:ind w:firstLine="459"/>
              <w:jc w:val="both"/>
            </w:pPr>
            <w:r w:rsidRPr="00F43EED">
              <w:t>Домінуюче положення в надходженнях від підприємств промисловості належить харчовій галузі, доля якої в зборі платежів до Зведеного бюджету складає 35,8% (сплачено 144,4 </w:t>
            </w:r>
            <w:proofErr w:type="spellStart"/>
            <w:r w:rsidRPr="00F43EED">
              <w:t>млн.грн</w:t>
            </w:r>
            <w:proofErr w:type="spellEnd"/>
            <w:r w:rsidRPr="00F43EED">
              <w:t>.), до державного бюджету – 35% (сплачено 73 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.).    </w:t>
            </w:r>
          </w:p>
          <w:p w:rsidR="00E20811" w:rsidRPr="00F43EED" w:rsidRDefault="00E20811" w:rsidP="0000432A">
            <w:pPr>
              <w:tabs>
                <w:tab w:val="left" w:pos="8822"/>
                <w:tab w:val="left" w:pos="9639"/>
              </w:tabs>
              <w:suppressAutoHyphens/>
              <w:ind w:firstLine="459"/>
              <w:jc w:val="both"/>
            </w:pPr>
            <w:r w:rsidRPr="00F43EED">
              <w:t>Основні надходження забезпечено виробниками молочних продуктів та м’яса і м’ясних продуктів. Так, підприємствами, що займаються виробництвом м’яса і м’ясних продуктів у січні-квітні 2016 року сплачено до Зведеного бюджету 28,2 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(19,5% від загальних надходжень по харчовій галузі), в </w:t>
            </w:r>
            <w:proofErr w:type="spellStart"/>
            <w:r w:rsidRPr="00F43EED">
              <w:t>т.ч</w:t>
            </w:r>
            <w:proofErr w:type="spellEnd"/>
            <w:r w:rsidRPr="00F43EED">
              <w:t xml:space="preserve">. до державного бюджету – 17,2 </w:t>
            </w:r>
            <w:proofErr w:type="spellStart"/>
            <w:r w:rsidRPr="00F43EED">
              <w:t>млн.грн</w:t>
            </w:r>
            <w:proofErr w:type="spellEnd"/>
            <w:r w:rsidRPr="00F43EED">
              <w:t>. (відповідно 23,6%). Від виробників молочних продуктів до Зведеного бюджету надійшло 26,7 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(відповідно 18,5%), в </w:t>
            </w:r>
            <w:proofErr w:type="spellStart"/>
            <w:r w:rsidRPr="00F43EED">
              <w:t>т.ч</w:t>
            </w:r>
            <w:proofErr w:type="spellEnd"/>
            <w:r w:rsidRPr="00F43EED">
              <w:t>. до державного бюджету – 11,6 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(відповідно 15,9%). </w:t>
            </w:r>
          </w:p>
          <w:p w:rsidR="00E20811" w:rsidRPr="00F43EED" w:rsidRDefault="00E20811" w:rsidP="0000432A">
            <w:pPr>
              <w:tabs>
                <w:tab w:val="left" w:pos="8822"/>
                <w:tab w:val="left" w:pos="9639"/>
              </w:tabs>
              <w:suppressAutoHyphens/>
              <w:ind w:firstLine="459"/>
              <w:jc w:val="both"/>
            </w:pPr>
            <w:r w:rsidRPr="00F43EED">
              <w:t xml:space="preserve">Підприємствами, що займаються виробництвом та розподіленням електроенергії, газу та води протягом січня-квітня 2016 року сплачено до Зведеного </w:t>
            </w:r>
            <w:r w:rsidRPr="00F43EED">
              <w:lastRenderedPageBreak/>
              <w:t>бюджету 85,9 </w:t>
            </w:r>
            <w:proofErr w:type="spellStart"/>
            <w:r w:rsidRPr="00F43EED">
              <w:t>млн.грн</w:t>
            </w:r>
            <w:proofErr w:type="spellEnd"/>
            <w:r w:rsidRPr="00F43EED">
              <w:t>., що складає 21,3% від суми податків сплачених промисловим комплексом області. Надходження до державного бюджету від цих платників склали 36,4 </w:t>
            </w:r>
            <w:proofErr w:type="spellStart"/>
            <w:r w:rsidRPr="00F43EED">
              <w:t>млн.грн</w:t>
            </w:r>
            <w:proofErr w:type="spellEnd"/>
            <w:r w:rsidRPr="00F43EED">
              <w:t>., що становить 17,5% надходжень від підприємств промисловості.</w:t>
            </w:r>
          </w:p>
          <w:p w:rsidR="00E20811" w:rsidRPr="00F43EED" w:rsidRDefault="00E20811" w:rsidP="0000432A">
            <w:pPr>
              <w:tabs>
                <w:tab w:val="left" w:pos="8822"/>
                <w:tab w:val="left" w:pos="9639"/>
              </w:tabs>
              <w:suppressAutoHyphens/>
              <w:ind w:firstLine="459"/>
              <w:jc w:val="both"/>
            </w:pPr>
            <w:r w:rsidRPr="00F43EED">
              <w:t>Від підприємств машинобудування у січні-квітні 2016 року до Зведеного бюджету надійшло 45,9 </w:t>
            </w:r>
            <w:proofErr w:type="spellStart"/>
            <w:r w:rsidRPr="00F43EED">
              <w:t>млн.грн</w:t>
            </w:r>
            <w:proofErr w:type="spellEnd"/>
            <w:r w:rsidRPr="00F43EED">
              <w:t>., що складає 11,4% від суми податків сплачених промисловим комплексом області. Надходження до державного бюджету від цих платників склали 32 </w:t>
            </w:r>
            <w:proofErr w:type="spellStart"/>
            <w:r w:rsidRPr="00F43EED">
              <w:t>млн.грн</w:t>
            </w:r>
            <w:proofErr w:type="spellEnd"/>
            <w:r w:rsidRPr="00F43EED">
              <w:t>. (15,3% від сум сплачених підприємствами промисловості).</w:t>
            </w:r>
          </w:p>
          <w:p w:rsidR="00A156B8" w:rsidRPr="00F43EED" w:rsidRDefault="00E20811" w:rsidP="0000432A">
            <w:pPr>
              <w:tabs>
                <w:tab w:val="left" w:pos="9356"/>
                <w:tab w:val="left" w:pos="9639"/>
              </w:tabs>
              <w:suppressAutoHyphens/>
              <w:ind w:firstLine="459"/>
              <w:jc w:val="both"/>
            </w:pPr>
            <w:r w:rsidRPr="00F43EED">
              <w:t>Питома вага надходжень в Зведеному бюджеті від підприємств, що займаються сільським господарством становить 15,8% (сплачено 324,8 </w:t>
            </w:r>
            <w:proofErr w:type="spellStart"/>
            <w:r w:rsidRPr="00F43EED">
              <w:t>млн.грн</w:t>
            </w:r>
            <w:proofErr w:type="spellEnd"/>
            <w:r w:rsidRPr="00F43EED">
              <w:t>.), торгівлею – 11,9% (сплачено 244,5 </w:t>
            </w:r>
            <w:proofErr w:type="spellStart"/>
            <w:r w:rsidRPr="00F43EED">
              <w:t>млн.грн</w:t>
            </w:r>
            <w:proofErr w:type="spellEnd"/>
            <w:r w:rsidRPr="00F43EED">
              <w:t>.), транспортом та зв’язком – 6,3% (сплачено 130,5 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.), будівництвом – 2,9% (сплачено 60,5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.). </w:t>
            </w:r>
          </w:p>
        </w:tc>
      </w:tr>
      <w:tr w:rsidR="00A156B8" w:rsidRPr="00F43EED" w:rsidTr="00251ED5">
        <w:trPr>
          <w:trHeight w:val="2228"/>
        </w:trPr>
        <w:tc>
          <w:tcPr>
            <w:tcW w:w="1702" w:type="dxa"/>
            <w:shd w:val="clear" w:color="auto" w:fill="auto"/>
          </w:tcPr>
          <w:p w:rsidR="00A156B8" w:rsidRPr="00F43EED" w:rsidRDefault="00A156B8" w:rsidP="00CB796B">
            <w:pPr>
              <w:pStyle w:val="310"/>
              <w:jc w:val="left"/>
              <w:rPr>
                <w:rFonts w:cs="Times New Roman"/>
                <w:b/>
                <w:i/>
                <w:sz w:val="24"/>
              </w:rPr>
            </w:pPr>
            <w:r w:rsidRPr="00F43EED">
              <w:rPr>
                <w:rFonts w:cs="Times New Roman"/>
                <w:b/>
                <w:i/>
                <w:sz w:val="24"/>
              </w:rPr>
              <w:lastRenderedPageBreak/>
              <w:t>Податкова недоїмка</w:t>
            </w:r>
          </w:p>
          <w:p w:rsidR="00A156B8" w:rsidRPr="00F43EED" w:rsidRDefault="00A156B8" w:rsidP="00CB796B">
            <w:pPr>
              <w:pStyle w:val="af4"/>
              <w:snapToGrid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8930" w:type="dxa"/>
            <w:shd w:val="clear" w:color="auto" w:fill="auto"/>
          </w:tcPr>
          <w:p w:rsidR="00E20811" w:rsidRPr="00F43EED" w:rsidRDefault="00E20811" w:rsidP="0000432A">
            <w:pPr>
              <w:tabs>
                <w:tab w:val="left" w:pos="540"/>
                <w:tab w:val="left" w:pos="9540"/>
              </w:tabs>
              <w:suppressAutoHyphens/>
              <w:ind w:firstLine="459"/>
              <w:jc w:val="both"/>
            </w:pPr>
            <w:r w:rsidRPr="00F43EED">
              <w:t xml:space="preserve">Станом на 01.05.2016 податковий борг до Зведеного бюджету, з урахуванням боргу банкрутів, складав 523,2 </w:t>
            </w:r>
            <w:proofErr w:type="spellStart"/>
            <w:r w:rsidRPr="00F43EED">
              <w:t>млн.грн</w:t>
            </w:r>
            <w:proofErr w:type="spellEnd"/>
            <w:r w:rsidRPr="00F43EED">
              <w:t>, з якого 387,7 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(74,3%) - борг з платежів до Державного бюджету. </w:t>
            </w:r>
          </w:p>
          <w:p w:rsidR="00E20811" w:rsidRPr="00F43EED" w:rsidRDefault="00E20811" w:rsidP="0000432A">
            <w:pPr>
              <w:tabs>
                <w:tab w:val="left" w:pos="540"/>
                <w:tab w:val="left" w:pos="9540"/>
              </w:tabs>
              <w:suppressAutoHyphens/>
              <w:ind w:firstLine="459"/>
              <w:jc w:val="both"/>
            </w:pPr>
            <w:r w:rsidRPr="00F43EED">
              <w:t>Зокрема, податкова заборгованість по ПДВ на 01.05.2016 складає 248,2 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., податку на прибуток – 99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., ПДФО – 72,5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., платі за землю – 53,8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., акцизному податку – 15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., інших податках та зборах – 34,7 </w:t>
            </w:r>
            <w:proofErr w:type="spellStart"/>
            <w:r w:rsidRPr="00F43EED">
              <w:t>млн.грн</w:t>
            </w:r>
            <w:proofErr w:type="spellEnd"/>
            <w:r w:rsidRPr="00F43EED">
              <w:t>.</w:t>
            </w:r>
          </w:p>
          <w:p w:rsidR="00E20811" w:rsidRPr="00F43EED" w:rsidRDefault="00E20811" w:rsidP="0000432A">
            <w:pPr>
              <w:tabs>
                <w:tab w:val="left" w:pos="540"/>
                <w:tab w:val="left" w:pos="9540"/>
              </w:tabs>
              <w:suppressAutoHyphens/>
              <w:ind w:firstLine="459"/>
              <w:jc w:val="both"/>
            </w:pPr>
            <w:r w:rsidRPr="00F43EED">
              <w:t>З початку року податкова заборгованість по області скоротилася на 5,4 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або на 0,7%. Так, податковий борг по ПДФО скоротився на 3,7 </w:t>
            </w:r>
            <w:proofErr w:type="spellStart"/>
            <w:r w:rsidRPr="00F43EED">
              <w:t>млн.грн</w:t>
            </w:r>
            <w:proofErr w:type="spellEnd"/>
            <w:r w:rsidRPr="00F43EED">
              <w:t>., по ПДВ – на 2,4 </w:t>
            </w:r>
            <w:proofErr w:type="spellStart"/>
            <w:r w:rsidRPr="00F43EED">
              <w:t>млн.грн</w:t>
            </w:r>
            <w:proofErr w:type="spellEnd"/>
            <w:r w:rsidRPr="00F43EED">
              <w:t>., по платі за землю – на 12,2 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., по акцизному податку  – на 0,2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Разом  з цим, зріс борг по податку на прибуток – на 15,9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</w:t>
            </w:r>
          </w:p>
          <w:p w:rsidR="00A156B8" w:rsidRPr="00F43EED" w:rsidRDefault="00A156B8" w:rsidP="0000432A">
            <w:pPr>
              <w:tabs>
                <w:tab w:val="left" w:pos="540"/>
                <w:tab w:val="left" w:pos="9540"/>
              </w:tabs>
              <w:ind w:firstLine="459"/>
              <w:jc w:val="both"/>
            </w:pPr>
          </w:p>
        </w:tc>
      </w:tr>
      <w:tr w:rsidR="00A156B8" w:rsidRPr="00F43EED" w:rsidTr="00251ED5">
        <w:trPr>
          <w:trHeight w:val="557"/>
        </w:trPr>
        <w:tc>
          <w:tcPr>
            <w:tcW w:w="1702" w:type="dxa"/>
            <w:shd w:val="clear" w:color="auto" w:fill="auto"/>
          </w:tcPr>
          <w:p w:rsidR="00A156B8" w:rsidRPr="00F43EED" w:rsidRDefault="00A156B8" w:rsidP="00CB796B">
            <w:pPr>
              <w:snapToGrid w:val="0"/>
              <w:rPr>
                <w:b/>
                <w:i/>
              </w:rPr>
            </w:pPr>
            <w:r w:rsidRPr="00F43EED">
              <w:rPr>
                <w:b/>
                <w:i/>
              </w:rPr>
              <w:t>Виконання показників бюджету області</w:t>
            </w:r>
          </w:p>
          <w:p w:rsidR="00A156B8" w:rsidRPr="00F43EED" w:rsidRDefault="00A156B8" w:rsidP="00CB796B">
            <w:pPr>
              <w:pStyle w:val="310"/>
              <w:jc w:val="left"/>
              <w:rPr>
                <w:rFonts w:cs="Times New Roman"/>
                <w:b/>
                <w:i/>
                <w:sz w:val="24"/>
              </w:rPr>
            </w:pPr>
          </w:p>
        </w:tc>
        <w:tc>
          <w:tcPr>
            <w:tcW w:w="8930" w:type="dxa"/>
            <w:shd w:val="clear" w:color="auto" w:fill="auto"/>
          </w:tcPr>
          <w:p w:rsidR="00E20811" w:rsidRPr="00F43EED" w:rsidRDefault="00E20811" w:rsidP="0000432A">
            <w:pPr>
              <w:ind w:firstLine="459"/>
              <w:jc w:val="both"/>
            </w:pPr>
            <w:r w:rsidRPr="00F43EED">
              <w:t xml:space="preserve">Відповідно до  даних Департаменту фінансів облдержадміністрації      </w:t>
            </w:r>
            <w:r w:rsidRPr="00F43EED">
              <w:rPr>
                <w:bCs/>
              </w:rPr>
              <w:t xml:space="preserve">за 4 місяці 2016 року </w:t>
            </w:r>
            <w:r w:rsidRPr="00F43EED">
              <w:t>до бюджету області  (</w:t>
            </w:r>
            <w:r w:rsidRPr="00F43EED">
              <w:rPr>
                <w:i/>
              </w:rPr>
              <w:t>загальний і спеціальний фонди</w:t>
            </w:r>
            <w:r w:rsidRPr="00F43EED">
              <w:t xml:space="preserve">) надійшло доходів без міжбюджетних трансфертів в сумі 1473,5 млн. грн., що становить 36,5% до плану </w:t>
            </w:r>
            <w:r w:rsidRPr="00F43EED">
              <w:rPr>
                <w:bCs/>
              </w:rPr>
              <w:t>на рік</w:t>
            </w:r>
            <w:r w:rsidRPr="00F43EED">
              <w:t xml:space="preserve">, затвердженого місцевими радами з врахуванням змін (заплановано 4041,6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.) та 128,0% до планових показників на 4 місяці згідно помісячного розпису (заплановано 1151,0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.). Порівняно з відповідним періодом минулого року надходження доходів місцевих бюджетів збільшились на 461,4 </w:t>
            </w:r>
            <w:proofErr w:type="spellStart"/>
            <w:r w:rsidRPr="00F43EED">
              <w:t>млн.грн</w:t>
            </w:r>
            <w:proofErr w:type="spellEnd"/>
            <w:r w:rsidRPr="00F43EED">
              <w:t>., або на 45,6%.</w:t>
            </w:r>
          </w:p>
          <w:p w:rsidR="00E20811" w:rsidRPr="00F43EED" w:rsidRDefault="00E20811" w:rsidP="0000432A">
            <w:pPr>
              <w:ind w:firstLine="459"/>
              <w:jc w:val="both"/>
            </w:pPr>
            <w:r w:rsidRPr="00F43EED">
              <w:t xml:space="preserve">У </w:t>
            </w:r>
            <w:proofErr w:type="spellStart"/>
            <w:r w:rsidRPr="00F43EED">
              <w:t>т.ч</w:t>
            </w:r>
            <w:proofErr w:type="spellEnd"/>
            <w:r w:rsidRPr="00F43EED">
              <w:t xml:space="preserve">. до </w:t>
            </w:r>
            <w:r w:rsidRPr="00F43EED">
              <w:rPr>
                <w:bCs/>
              </w:rPr>
              <w:t>загального фонду</w:t>
            </w:r>
            <w:r w:rsidRPr="00F43EED">
              <w:t xml:space="preserve"> бюджету області надійшло доходів без міжбюджетних трансфертів в сумі 1242,6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., що становить 35,3%  плану на рік, затвердженого місцевими радами з врахуванням змін (заплановано 3517,6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.) та 119,9% до планових показників на 4 місяці згідно помісячного розпису (заплановано 1036,0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.), понад план отримано 206,6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доходів.. </w:t>
            </w:r>
          </w:p>
          <w:p w:rsidR="00E20811" w:rsidRPr="00F43EED" w:rsidRDefault="00E20811" w:rsidP="0000432A">
            <w:pPr>
              <w:ind w:firstLine="459"/>
              <w:jc w:val="both"/>
            </w:pPr>
          </w:p>
          <w:p w:rsidR="00E20811" w:rsidRPr="00F43EED" w:rsidRDefault="00E20811" w:rsidP="0000432A">
            <w:pPr>
              <w:ind w:firstLine="459"/>
              <w:jc w:val="both"/>
            </w:pPr>
            <w:r w:rsidRPr="00F43EED">
              <w:t xml:space="preserve">Проти відповідного періоду минулого року надходження доходів (без міжбюджетних трансфертів) місцевих бюджетів </w:t>
            </w:r>
            <w:r w:rsidRPr="00F43EED">
              <w:rPr>
                <w:bCs/>
              </w:rPr>
              <w:t>в абсолютній сумі</w:t>
            </w:r>
            <w:r w:rsidRPr="00F43EED">
              <w:t xml:space="preserve"> збільшились на 393,1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., або на 46,3%, а </w:t>
            </w:r>
            <w:r w:rsidRPr="00F43EED">
              <w:rPr>
                <w:bCs/>
              </w:rPr>
              <w:t>у порівняних умовах</w:t>
            </w:r>
            <w:r w:rsidRPr="00F43EED">
              <w:t xml:space="preserve"> – збільшились на 429,7 </w:t>
            </w:r>
            <w:proofErr w:type="spellStart"/>
            <w:r w:rsidRPr="00F43EED">
              <w:t>млн.грн</w:t>
            </w:r>
            <w:proofErr w:type="spellEnd"/>
            <w:r w:rsidRPr="00F43EED">
              <w:t>., або на 52,9%.</w:t>
            </w:r>
          </w:p>
          <w:p w:rsidR="00E20811" w:rsidRPr="00F43EED" w:rsidRDefault="00E20811" w:rsidP="0000432A">
            <w:pPr>
              <w:ind w:firstLine="459"/>
              <w:jc w:val="both"/>
            </w:pPr>
            <w:r w:rsidRPr="00F43EED">
              <w:rPr>
                <w:bCs/>
              </w:rPr>
              <w:t>Найбільший приріст</w:t>
            </w:r>
            <w:r w:rsidRPr="00F43EED">
              <w:t xml:space="preserve"> надходжень доходів без міжбюджетних трансфертів </w:t>
            </w:r>
            <w:r w:rsidRPr="00F43EED">
              <w:rPr>
                <w:bCs/>
              </w:rPr>
              <w:t>у порівняних умовах</w:t>
            </w:r>
            <w:r w:rsidRPr="00F43EED">
              <w:t xml:space="preserve">  по бюджетах: Гайсинського району – на 105.8%, Хмільницького району – на 71,2%, </w:t>
            </w:r>
            <w:proofErr w:type="spellStart"/>
            <w:r w:rsidRPr="00F43EED">
              <w:t>Калинівській</w:t>
            </w:r>
            <w:proofErr w:type="spellEnd"/>
            <w:r w:rsidRPr="00F43EED">
              <w:t xml:space="preserve"> об’єднаній територіальній громаді (ОТГ) – на 67,7%, Козятинського району – на 64,7%, Могилів-Подільського району  – на 61,9%.</w:t>
            </w:r>
          </w:p>
          <w:p w:rsidR="00E20811" w:rsidRPr="00F43EED" w:rsidRDefault="00E20811" w:rsidP="0000432A">
            <w:pPr>
              <w:ind w:firstLine="459"/>
              <w:jc w:val="both"/>
            </w:pPr>
            <w:r w:rsidRPr="00F43EED">
              <w:rPr>
                <w:bCs/>
              </w:rPr>
              <w:t>Найменший приріст</w:t>
            </w:r>
            <w:r w:rsidRPr="00F43EED">
              <w:t xml:space="preserve"> надходжень по бюджетах: </w:t>
            </w:r>
            <w:proofErr w:type="spellStart"/>
            <w:r w:rsidRPr="00F43EED">
              <w:t>Оратівському</w:t>
            </w:r>
            <w:proofErr w:type="spellEnd"/>
            <w:r w:rsidRPr="00F43EED">
              <w:t xml:space="preserve"> району - збільшення на 31,9%,  Вінницькому району – на 32,7%, </w:t>
            </w:r>
            <w:proofErr w:type="spellStart"/>
            <w:r w:rsidRPr="00F43EED">
              <w:t>Немирівському</w:t>
            </w:r>
            <w:proofErr w:type="spellEnd"/>
            <w:r w:rsidRPr="00F43EED">
              <w:t xml:space="preserve"> району - збільшення на 39,2%,Чернівецькому району – на 39,9%, м. Жмеринка  –  на 40,5%.</w:t>
            </w:r>
          </w:p>
          <w:p w:rsidR="00E20811" w:rsidRPr="00F43EED" w:rsidRDefault="00E20811" w:rsidP="0000432A">
            <w:pPr>
              <w:tabs>
                <w:tab w:val="left" w:pos="8505"/>
                <w:tab w:val="left" w:pos="9356"/>
              </w:tabs>
              <w:ind w:firstLine="459"/>
              <w:jc w:val="both"/>
            </w:pPr>
            <w:r w:rsidRPr="00F43EED">
              <w:t xml:space="preserve">       Дохідну частину бюджету до плану на 4 місяці виконано по всіх 36-ти бюджетах адміністративно-територіальних одиниць (міст обласного значення, бюджетів районів, об’єднаних територіальних громад та обласного). </w:t>
            </w:r>
          </w:p>
          <w:p w:rsidR="00E20811" w:rsidRPr="00F43EED" w:rsidRDefault="00E20811" w:rsidP="0000432A">
            <w:pPr>
              <w:ind w:firstLine="459"/>
              <w:jc w:val="both"/>
            </w:pPr>
            <w:r w:rsidRPr="00F43EED">
              <w:rPr>
                <w:bCs/>
              </w:rPr>
              <w:t>Найбільший рівень</w:t>
            </w:r>
            <w:r w:rsidRPr="00F43EED">
              <w:t xml:space="preserve"> виконання </w:t>
            </w:r>
            <w:r w:rsidRPr="00F43EED">
              <w:rPr>
                <w:bCs/>
              </w:rPr>
              <w:t>планів на рік</w:t>
            </w:r>
            <w:r w:rsidRPr="00F43EED">
              <w:t xml:space="preserve"> по доходах загального фонду (без трансфертів), затверджених місцевими радами, по бюджетах: Вінницькому району – </w:t>
            </w:r>
            <w:r w:rsidRPr="00F43EED">
              <w:lastRenderedPageBreak/>
              <w:t xml:space="preserve">50,0% плану на рік (при розрахунковій нормі на 4 місяці 33,3%), Могилів-Подільському району – 45,3%, </w:t>
            </w:r>
            <w:proofErr w:type="spellStart"/>
            <w:r w:rsidRPr="00F43EED">
              <w:t>Погребищенському</w:t>
            </w:r>
            <w:proofErr w:type="spellEnd"/>
            <w:r w:rsidRPr="00F43EED">
              <w:t xml:space="preserve"> району – 43,8%, </w:t>
            </w:r>
            <w:proofErr w:type="spellStart"/>
            <w:r w:rsidRPr="00F43EED">
              <w:t>Шаргородському</w:t>
            </w:r>
            <w:proofErr w:type="spellEnd"/>
            <w:r w:rsidRPr="00F43EED">
              <w:t xml:space="preserve"> району – 41,5%, </w:t>
            </w:r>
            <w:proofErr w:type="spellStart"/>
            <w:r w:rsidRPr="00F43EED">
              <w:t>Калинівській</w:t>
            </w:r>
            <w:proofErr w:type="spellEnd"/>
            <w:r w:rsidRPr="00F43EED">
              <w:t xml:space="preserve"> ОТГ – 41,2%. </w:t>
            </w:r>
          </w:p>
          <w:p w:rsidR="00E20811" w:rsidRPr="00F43EED" w:rsidRDefault="00E20811" w:rsidP="0000432A">
            <w:pPr>
              <w:ind w:firstLine="459"/>
              <w:jc w:val="both"/>
            </w:pPr>
            <w:r w:rsidRPr="00F43EED">
              <w:rPr>
                <w:bCs/>
              </w:rPr>
              <w:t>Найменший рівень</w:t>
            </w:r>
            <w:r w:rsidRPr="00F43EED">
              <w:t xml:space="preserve"> виконання бюджетів -  по Чернівецькому району  – 28,0%, </w:t>
            </w:r>
            <w:proofErr w:type="spellStart"/>
            <w:r w:rsidRPr="00F43EED">
              <w:t>Томашпільському</w:t>
            </w:r>
            <w:proofErr w:type="spellEnd"/>
            <w:r w:rsidRPr="00F43EED">
              <w:t xml:space="preserve"> району – 29,4%, обласному бюджету – 30,5%, Ямпільському району – 31,1%, </w:t>
            </w:r>
            <w:proofErr w:type="spellStart"/>
            <w:r w:rsidRPr="00F43EED">
              <w:t>Оратівському</w:t>
            </w:r>
            <w:proofErr w:type="spellEnd"/>
            <w:r w:rsidRPr="00F43EED">
              <w:t xml:space="preserve">  – 31,2%.</w:t>
            </w:r>
          </w:p>
          <w:p w:rsidR="00E20811" w:rsidRPr="00F43EED" w:rsidRDefault="00E20811" w:rsidP="0000432A">
            <w:pPr>
              <w:ind w:firstLine="459"/>
              <w:jc w:val="both"/>
            </w:pPr>
            <w:r w:rsidRPr="00F43EED">
              <w:t>.</w:t>
            </w:r>
          </w:p>
          <w:p w:rsidR="00E20811" w:rsidRPr="00F43EED" w:rsidRDefault="00E20811" w:rsidP="0000432A">
            <w:pPr>
              <w:ind w:firstLine="459"/>
              <w:jc w:val="both"/>
            </w:pPr>
            <w:r w:rsidRPr="00F43EED">
              <w:t>З 697 сільських, селищних, міських (міст районного значення) рад виконали свої бюджети по доходах (без трансфертів) по планах на 4 місяці 2016 року 692 ради, або 99,3% їх загальної кількості. Не виконано лише 5 бюджетів (за 4 місяці 2015 року – 10 бюджетів). Разом з тим, на сьогодні по 6-ти бюджетах виконано вже річні бюджетні призначення по доходах, а ще по 95-ти бюджетах – виконання становить більше 50% плану на рік.</w:t>
            </w:r>
          </w:p>
          <w:p w:rsidR="00E20811" w:rsidRPr="00F43EED" w:rsidRDefault="00E20811" w:rsidP="0000432A">
            <w:pPr>
              <w:ind w:firstLine="459"/>
              <w:jc w:val="both"/>
            </w:pPr>
            <w:r w:rsidRPr="00F43EED">
              <w:t xml:space="preserve"> Забезпечено виконання всіх бюджетів у 25 районах, не забезпечено – у 2-х районах, у тому числі у </w:t>
            </w:r>
            <w:proofErr w:type="spellStart"/>
            <w:r w:rsidRPr="00F43EED">
              <w:t>Теплицькому</w:t>
            </w:r>
            <w:proofErr w:type="spellEnd"/>
            <w:r w:rsidRPr="00F43EED">
              <w:t xml:space="preserve"> районі не виконано 3 бюджети, а в </w:t>
            </w:r>
            <w:proofErr w:type="spellStart"/>
            <w:r w:rsidRPr="00F43EED">
              <w:t>Літинському</w:t>
            </w:r>
            <w:proofErr w:type="spellEnd"/>
            <w:r w:rsidRPr="00F43EED">
              <w:t xml:space="preserve"> – 2 бюджети.</w:t>
            </w:r>
          </w:p>
          <w:p w:rsidR="00E20811" w:rsidRPr="00F43EED" w:rsidRDefault="00E20811" w:rsidP="0000432A">
            <w:pPr>
              <w:ind w:firstLine="459"/>
              <w:jc w:val="both"/>
            </w:pPr>
          </w:p>
          <w:p w:rsidR="00E20811" w:rsidRPr="00F43EED" w:rsidRDefault="00E20811" w:rsidP="0000432A">
            <w:pPr>
              <w:ind w:firstLine="459"/>
              <w:jc w:val="both"/>
              <w:rPr>
                <w:rFonts w:eastAsia="MS Mincho"/>
              </w:rPr>
            </w:pPr>
            <w:r w:rsidRPr="00F43EED">
              <w:rPr>
                <w:rFonts w:eastAsia="MS Mincho"/>
              </w:rPr>
              <w:t xml:space="preserve">Крім власних надходжень податків і зборів до загального фонду бюджету області отримано також 93,3 </w:t>
            </w:r>
            <w:proofErr w:type="spellStart"/>
            <w:r w:rsidRPr="00F43EED">
              <w:rPr>
                <w:rFonts w:eastAsia="MS Mincho"/>
              </w:rPr>
              <w:t>млн.грн</w:t>
            </w:r>
            <w:proofErr w:type="spellEnd"/>
            <w:r w:rsidRPr="00F43EED">
              <w:rPr>
                <w:rFonts w:eastAsia="MS Mincho"/>
              </w:rPr>
              <w:t xml:space="preserve">. дотацій, або 100,0% плану на 4 місяці,  та 2537,3 </w:t>
            </w:r>
            <w:proofErr w:type="spellStart"/>
            <w:r w:rsidRPr="00F43EED">
              <w:rPr>
                <w:rFonts w:eastAsia="MS Mincho"/>
              </w:rPr>
              <w:t>млн.грн</w:t>
            </w:r>
            <w:proofErr w:type="spellEnd"/>
            <w:r w:rsidRPr="00F43EED">
              <w:rPr>
                <w:rFonts w:eastAsia="MS Mincho"/>
              </w:rPr>
              <w:t xml:space="preserve">. субвенцій з державного бюджету, або 99,4% до плану на 4 місяці (недоотримано 14,4 </w:t>
            </w:r>
            <w:proofErr w:type="spellStart"/>
            <w:r w:rsidRPr="00F43EED">
              <w:rPr>
                <w:rFonts w:eastAsia="MS Mincho"/>
              </w:rPr>
              <w:t>млн.грн</w:t>
            </w:r>
            <w:proofErr w:type="spellEnd"/>
            <w:r w:rsidRPr="00F43EED">
              <w:rPr>
                <w:rFonts w:eastAsia="MS Mincho"/>
              </w:rPr>
              <w:t xml:space="preserve">. субвенцій, у </w:t>
            </w:r>
            <w:proofErr w:type="spellStart"/>
            <w:r w:rsidRPr="00F43EED">
              <w:rPr>
                <w:rFonts w:eastAsia="MS Mincho"/>
              </w:rPr>
              <w:t>т.ч</w:t>
            </w:r>
            <w:proofErr w:type="spellEnd"/>
            <w:r w:rsidRPr="00F43EED">
              <w:rPr>
                <w:rFonts w:eastAsia="MS Mincho"/>
              </w:rPr>
              <w:t xml:space="preserve">. 13,3 </w:t>
            </w:r>
            <w:proofErr w:type="spellStart"/>
            <w:r w:rsidRPr="00F43EED">
              <w:rPr>
                <w:rFonts w:eastAsia="MS Mincho"/>
              </w:rPr>
              <w:t>млн.грн</w:t>
            </w:r>
            <w:proofErr w:type="spellEnd"/>
            <w:r w:rsidRPr="00F43EED">
              <w:rPr>
                <w:rFonts w:eastAsia="MS Mincho"/>
              </w:rPr>
              <w:t xml:space="preserve">. субвенцій на надання пільг та житлових субсидій населенню). Проти аналогічного періоду 2015 року  надходження дотацій та субвенцій з Державного бюджету збільшилось на 626,3 </w:t>
            </w:r>
            <w:proofErr w:type="spellStart"/>
            <w:r w:rsidRPr="00F43EED">
              <w:rPr>
                <w:rFonts w:eastAsia="MS Mincho"/>
              </w:rPr>
              <w:t>млн.грн</w:t>
            </w:r>
            <w:proofErr w:type="spellEnd"/>
            <w:r w:rsidRPr="00F43EED">
              <w:rPr>
                <w:rFonts w:eastAsia="MS Mincho"/>
              </w:rPr>
              <w:t>., або на 31,3%.</w:t>
            </w:r>
          </w:p>
          <w:p w:rsidR="00E20811" w:rsidRPr="00F43EED" w:rsidRDefault="00E20811" w:rsidP="0000432A">
            <w:pPr>
              <w:ind w:firstLine="459"/>
              <w:jc w:val="both"/>
              <w:rPr>
                <w:rFonts w:eastAsia="MS Mincho"/>
              </w:rPr>
            </w:pPr>
            <w:r w:rsidRPr="00F43EED">
              <w:rPr>
                <w:rFonts w:eastAsia="MS Mincho"/>
              </w:rPr>
              <w:t xml:space="preserve">З врахуванням всіх міжбюджетних трансфертів (субвенцій, дотацій) з державного бюджету </w:t>
            </w:r>
            <w:r w:rsidRPr="00F43EED">
              <w:rPr>
                <w:rFonts w:eastAsia="MS Mincho"/>
                <w:b/>
              </w:rPr>
              <w:t>бюджет області по доходах загального фонду</w:t>
            </w:r>
            <w:r w:rsidRPr="00F43EED">
              <w:rPr>
                <w:rFonts w:eastAsia="MS Mincho"/>
              </w:rPr>
              <w:t xml:space="preserve"> отримав 3873,2 </w:t>
            </w:r>
            <w:proofErr w:type="spellStart"/>
            <w:r w:rsidRPr="00F43EED">
              <w:rPr>
                <w:rFonts w:eastAsia="MS Mincho"/>
              </w:rPr>
              <w:t>млн.грн</w:t>
            </w:r>
            <w:proofErr w:type="spellEnd"/>
            <w:r w:rsidRPr="00F43EED">
              <w:rPr>
                <w:rFonts w:eastAsia="MS Mincho"/>
              </w:rPr>
              <w:t xml:space="preserve">., або 36,0% до уточненого плану на рік (план 10770,2 </w:t>
            </w:r>
            <w:proofErr w:type="spellStart"/>
            <w:r w:rsidRPr="00F43EED">
              <w:rPr>
                <w:rFonts w:eastAsia="MS Mincho"/>
              </w:rPr>
              <w:t>млн.грн</w:t>
            </w:r>
            <w:proofErr w:type="spellEnd"/>
            <w:r w:rsidRPr="00F43EED">
              <w:rPr>
                <w:rFonts w:eastAsia="MS Mincho"/>
              </w:rPr>
              <w:t xml:space="preserve">.) та 105,2% до уточненого плану на 4 місяці (план 3681,0 </w:t>
            </w:r>
            <w:proofErr w:type="spellStart"/>
            <w:r w:rsidRPr="00F43EED">
              <w:rPr>
                <w:rFonts w:eastAsia="MS Mincho"/>
              </w:rPr>
              <w:t>млн.грн</w:t>
            </w:r>
            <w:proofErr w:type="spellEnd"/>
            <w:r w:rsidRPr="00F43EED">
              <w:rPr>
                <w:rFonts w:eastAsia="MS Mincho"/>
              </w:rPr>
              <w:t xml:space="preserve">.),  </w:t>
            </w:r>
            <w:r w:rsidRPr="00F43EED">
              <w:t xml:space="preserve">і проти аналогічного періоду минулого року збільшились на 1019,5 </w:t>
            </w:r>
            <w:proofErr w:type="spellStart"/>
            <w:r w:rsidRPr="00F43EED">
              <w:t>млн.грн</w:t>
            </w:r>
            <w:proofErr w:type="spellEnd"/>
            <w:r w:rsidRPr="00F43EED">
              <w:t>., або на 35,7%.</w:t>
            </w:r>
          </w:p>
          <w:p w:rsidR="00E20811" w:rsidRPr="00F43EED" w:rsidRDefault="00E20811" w:rsidP="0000432A">
            <w:pPr>
              <w:ind w:firstLine="459"/>
              <w:jc w:val="both"/>
            </w:pPr>
            <w:r w:rsidRPr="00F43EED">
              <w:t>За 4 місяці поточного року по зведеному бюджету області (</w:t>
            </w:r>
            <w:r w:rsidRPr="00F43EED">
              <w:rPr>
                <w:i/>
              </w:rPr>
              <w:t>загальний і спеціальний фонди</w:t>
            </w:r>
            <w:r w:rsidRPr="00F43EED">
              <w:t xml:space="preserve">) проведено </w:t>
            </w:r>
            <w:r w:rsidRPr="00F43EED">
              <w:rPr>
                <w:b/>
                <w:bCs/>
              </w:rPr>
              <w:t xml:space="preserve">видатків </w:t>
            </w:r>
            <w:r w:rsidRPr="00F43EED">
              <w:t xml:space="preserve"> 3879.2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., що становить 33,1% плану на рік, затвердженого місцевими радами з врахуванням змін (заплановано 11705.9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.), та 91,2% до планових показників на 4 місяці згідно помісячного розпису (заплановано 4253,3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.),  і збільшились проти аналогічного періоду минулого року на 1001.9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., або на 34,8%. З них,  проведено </w:t>
            </w:r>
            <w:r w:rsidRPr="00F43EED">
              <w:rPr>
                <w:b/>
                <w:bCs/>
              </w:rPr>
              <w:t>видатків розвитку</w:t>
            </w:r>
            <w:r w:rsidRPr="00F43EED">
              <w:t xml:space="preserve"> в сумі 215,9 млн грн., що становить 20.9% плану на рік з врахуванням змін (заплановано 1032,6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.) та 57,2% до планових показників на 4 місяці (заплановано 377,3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.), що більше проти 4 місяців минулого року на 55,5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., або на 34,6%. </w:t>
            </w:r>
          </w:p>
          <w:p w:rsidR="00E20811" w:rsidRPr="00F43EED" w:rsidRDefault="00E20811" w:rsidP="0000432A">
            <w:pPr>
              <w:ind w:firstLine="459"/>
              <w:jc w:val="both"/>
            </w:pPr>
            <w:r w:rsidRPr="00F43EED">
              <w:t xml:space="preserve">За січень-квітень 2016 </w:t>
            </w:r>
            <w:proofErr w:type="spellStart"/>
            <w:r w:rsidRPr="00F43EED">
              <w:t>рокупроведено</w:t>
            </w:r>
            <w:proofErr w:type="spellEnd"/>
            <w:r w:rsidRPr="00F43EED">
              <w:rPr>
                <w:bCs/>
              </w:rPr>
              <w:t xml:space="preserve"> 3505,7 </w:t>
            </w:r>
            <w:proofErr w:type="spellStart"/>
            <w:r w:rsidRPr="00F43EED">
              <w:t>млн.грн</w:t>
            </w:r>
            <w:proofErr w:type="spellEnd"/>
            <w:r w:rsidRPr="00F43EED">
              <w:t>.</w:t>
            </w:r>
            <w:r w:rsidRPr="00F43EED">
              <w:rPr>
                <w:b/>
                <w:bCs/>
              </w:rPr>
              <w:t xml:space="preserve"> </w:t>
            </w:r>
            <w:proofErr w:type="spellStart"/>
            <w:r w:rsidRPr="00F43EED">
              <w:rPr>
                <w:b/>
                <w:bCs/>
              </w:rPr>
              <w:t>видатківзагального</w:t>
            </w:r>
            <w:proofErr w:type="spellEnd"/>
            <w:r w:rsidRPr="00F43EED">
              <w:rPr>
                <w:b/>
                <w:bCs/>
              </w:rPr>
              <w:t xml:space="preserve"> фонду</w:t>
            </w:r>
            <w:r w:rsidRPr="00F43EED">
              <w:t xml:space="preserve">, що становить 34,0% плану на рік, затвердженого місцевими радами з врахуванням змін (заплановано 10304,9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.), та 91,1% до планових показників на 4 місяці згідно помісячного розпису (заплановано 3847,1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.), і проти аналогічного періоду 2015 року збільшились на  926,5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., або на 35,9%. </w:t>
            </w:r>
          </w:p>
          <w:p w:rsidR="00E20811" w:rsidRPr="00F43EED" w:rsidRDefault="00E20811" w:rsidP="0000432A">
            <w:pPr>
              <w:ind w:firstLine="459"/>
              <w:jc w:val="both"/>
              <w:rPr>
                <w:rFonts w:eastAsia="MS Mincho"/>
              </w:rPr>
            </w:pPr>
            <w:r w:rsidRPr="00F43EED">
              <w:rPr>
                <w:rFonts w:eastAsia="MS Mincho"/>
              </w:rPr>
              <w:t>В першу чергу кошти бюджету спрямовувались на фінансування соціально-культурної сфери:</w:t>
            </w:r>
            <w:r w:rsidRPr="00F43EED">
              <w:t xml:space="preserve"> за 4 місяці 2016 року на зазначені цілі використано 3180,9 </w:t>
            </w:r>
            <w:proofErr w:type="spellStart"/>
            <w:r w:rsidRPr="00F43EED">
              <w:t>млн.грн</w:t>
            </w:r>
            <w:proofErr w:type="spellEnd"/>
            <w:r w:rsidRPr="00F43EED">
              <w:t>. - це 90,7% усіх видатків загального фонду, у тому числі</w:t>
            </w:r>
            <w:r w:rsidRPr="00F43EED">
              <w:rPr>
                <w:rFonts w:eastAsia="MS Mincho"/>
              </w:rPr>
              <w:t xml:space="preserve"> на освіту використано 968,2 </w:t>
            </w:r>
            <w:proofErr w:type="spellStart"/>
            <w:r w:rsidRPr="00F43EED">
              <w:rPr>
                <w:rFonts w:eastAsia="MS Mincho"/>
              </w:rPr>
              <w:t>млн.грн</w:t>
            </w:r>
            <w:proofErr w:type="spellEnd"/>
            <w:r w:rsidRPr="00F43EED">
              <w:rPr>
                <w:rFonts w:eastAsia="MS Mincho"/>
              </w:rPr>
              <w:t xml:space="preserve">. (проти аналогічного періоду минулого року збільшення на 62,0 </w:t>
            </w:r>
            <w:proofErr w:type="spellStart"/>
            <w:r w:rsidRPr="00F43EED">
              <w:rPr>
                <w:rFonts w:eastAsia="MS Mincho"/>
              </w:rPr>
              <w:t>млн.грн</w:t>
            </w:r>
            <w:proofErr w:type="spellEnd"/>
            <w:r w:rsidRPr="00F43EED">
              <w:rPr>
                <w:rFonts w:eastAsia="MS Mincho"/>
              </w:rPr>
              <w:t xml:space="preserve">., або на 6,8%), на охорону здоров’я – 567,0 </w:t>
            </w:r>
            <w:proofErr w:type="spellStart"/>
            <w:r w:rsidRPr="00F43EED">
              <w:rPr>
                <w:rFonts w:eastAsia="MS Mincho"/>
              </w:rPr>
              <w:t>млн.грн</w:t>
            </w:r>
            <w:proofErr w:type="spellEnd"/>
            <w:r w:rsidRPr="00F43EED">
              <w:rPr>
                <w:rFonts w:eastAsia="MS Mincho"/>
              </w:rPr>
              <w:t xml:space="preserve">. (збільшення проти 4 місяців 2015 року на 13,6 </w:t>
            </w:r>
            <w:proofErr w:type="spellStart"/>
            <w:r w:rsidRPr="00F43EED">
              <w:rPr>
                <w:rFonts w:eastAsia="MS Mincho"/>
              </w:rPr>
              <w:t>млн.грн</w:t>
            </w:r>
            <w:proofErr w:type="spellEnd"/>
            <w:r w:rsidRPr="00F43EED">
              <w:rPr>
                <w:rFonts w:eastAsia="MS Mincho"/>
              </w:rPr>
              <w:t xml:space="preserve">., або на 2,4%), на </w:t>
            </w:r>
            <w:r w:rsidRPr="00F43EED">
              <w:t xml:space="preserve">соціальний захист та соціальне забезпечення – 1510,1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(збільшилися на 761,2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., або у 2,0 рази), </w:t>
            </w:r>
            <w:r w:rsidRPr="00F43EED">
              <w:rPr>
                <w:rFonts w:eastAsia="MS Mincho"/>
              </w:rPr>
              <w:t xml:space="preserve">на культуру – 100,4 </w:t>
            </w:r>
            <w:proofErr w:type="spellStart"/>
            <w:r w:rsidRPr="00F43EED">
              <w:rPr>
                <w:rFonts w:eastAsia="MS Mincho"/>
              </w:rPr>
              <w:t>млн.грн</w:t>
            </w:r>
            <w:proofErr w:type="spellEnd"/>
            <w:r w:rsidRPr="00F43EED">
              <w:rPr>
                <w:rFonts w:eastAsia="MS Mincho"/>
              </w:rPr>
              <w:t xml:space="preserve">. (збільшення на 7,9 </w:t>
            </w:r>
            <w:proofErr w:type="spellStart"/>
            <w:r w:rsidRPr="00F43EED">
              <w:rPr>
                <w:rFonts w:eastAsia="MS Mincho"/>
              </w:rPr>
              <w:t>млн.грн</w:t>
            </w:r>
            <w:proofErr w:type="spellEnd"/>
            <w:r w:rsidRPr="00F43EED">
              <w:rPr>
                <w:rFonts w:eastAsia="MS Mincho"/>
              </w:rPr>
              <w:t>., або на 8,5%).</w:t>
            </w:r>
          </w:p>
          <w:p w:rsidR="00E20811" w:rsidRPr="00F43EED" w:rsidRDefault="00E20811" w:rsidP="0000432A">
            <w:pPr>
              <w:ind w:firstLine="459"/>
              <w:jc w:val="both"/>
            </w:pPr>
            <w:r w:rsidRPr="00F43EED">
              <w:t xml:space="preserve">Забезпечується в повному обсязі фінансування захищених статей бюджету, зокрема повнота та своєчасність виплати заробітної плати з нарахуваннями, розрахунків за спожиті енергоносії,  виплат населенню по соціальному забезпеченню (стипендій, пільгових пенсій тощо). </w:t>
            </w:r>
          </w:p>
          <w:p w:rsidR="00E20811" w:rsidRPr="00F43EED" w:rsidRDefault="00E20811" w:rsidP="0000432A">
            <w:pPr>
              <w:ind w:firstLine="459"/>
              <w:jc w:val="both"/>
            </w:pPr>
            <w:r w:rsidRPr="00F43EED">
              <w:lastRenderedPageBreak/>
              <w:t xml:space="preserve">За попередніми даними </w:t>
            </w:r>
            <w:r w:rsidRPr="00F43EED">
              <w:rPr>
                <w:b/>
                <w:bCs/>
              </w:rPr>
              <w:t xml:space="preserve">прострочена кредиторська заборгованість </w:t>
            </w:r>
            <w:r w:rsidRPr="00F43EED">
              <w:t xml:space="preserve">із зазначених виплат </w:t>
            </w:r>
            <w:r w:rsidRPr="00F43EED">
              <w:rPr>
                <w:b/>
                <w:bCs/>
              </w:rPr>
              <w:t>відсутня.</w:t>
            </w:r>
          </w:p>
          <w:p w:rsidR="00442996" w:rsidRPr="00F43EED" w:rsidRDefault="00442996" w:rsidP="0000432A">
            <w:pPr>
              <w:ind w:firstLine="459"/>
              <w:jc w:val="both"/>
              <w:rPr>
                <w:rFonts w:eastAsia="MS Mincho"/>
              </w:rPr>
            </w:pPr>
          </w:p>
        </w:tc>
      </w:tr>
      <w:tr w:rsidR="00A156B8" w:rsidRPr="00F43EED" w:rsidTr="00251ED5">
        <w:trPr>
          <w:trHeight w:val="284"/>
        </w:trPr>
        <w:tc>
          <w:tcPr>
            <w:tcW w:w="1702" w:type="dxa"/>
            <w:shd w:val="clear" w:color="auto" w:fill="auto"/>
          </w:tcPr>
          <w:p w:rsidR="00A156B8" w:rsidRPr="00F43EED" w:rsidRDefault="00A156B8" w:rsidP="00CB796B">
            <w:pPr>
              <w:pStyle w:val="32"/>
              <w:snapToGrid w:val="0"/>
              <w:spacing w:after="0"/>
              <w:rPr>
                <w:b/>
                <w:i/>
                <w:sz w:val="24"/>
                <w:szCs w:val="24"/>
              </w:rPr>
            </w:pPr>
            <w:r w:rsidRPr="00F43EED">
              <w:rPr>
                <w:b/>
                <w:i/>
                <w:sz w:val="24"/>
                <w:szCs w:val="24"/>
              </w:rPr>
              <w:lastRenderedPageBreak/>
              <w:t>Стан адміністрування єдиного внеску на обов’язкове державне соціальне страхування</w:t>
            </w:r>
          </w:p>
        </w:tc>
        <w:tc>
          <w:tcPr>
            <w:tcW w:w="8930" w:type="dxa"/>
            <w:shd w:val="clear" w:color="auto" w:fill="auto"/>
          </w:tcPr>
          <w:p w:rsidR="00E20811" w:rsidRPr="00F43EED" w:rsidRDefault="00E20811" w:rsidP="0000432A">
            <w:pPr>
              <w:ind w:firstLine="459"/>
              <w:jc w:val="both"/>
            </w:pPr>
            <w:r w:rsidRPr="00F43EED">
              <w:t xml:space="preserve">Відповідно до даних Головного управління ДФС у Вінницькій області протягом січня-квітня 2016 року надійшло 958,8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єдиного соціального внеску, що на 557,3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 (36,8%) менше від надходжень січня-квітня 2015 року.   </w:t>
            </w:r>
          </w:p>
          <w:p w:rsidR="00E20811" w:rsidRPr="00F43EED" w:rsidRDefault="00E20811" w:rsidP="0000432A">
            <w:pPr>
              <w:ind w:firstLine="459"/>
              <w:jc w:val="both"/>
            </w:pPr>
            <w:r w:rsidRPr="00F43EED">
              <w:t xml:space="preserve">Зменшення збору ЄВ пов’язано зі: зниженням ставки оподаткування (з 41% до 22%), переходом на податковий облік до спеціалізованих податкових органів 26 великих платників (середньомісячні втрати - 29,3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.),проведенням </w:t>
            </w:r>
            <w:proofErr w:type="spellStart"/>
            <w:r w:rsidRPr="00F43EED">
              <w:t>реорганізаціїПівденно</w:t>
            </w:r>
            <w:proofErr w:type="spellEnd"/>
            <w:r w:rsidRPr="00F43EED">
              <w:t xml:space="preserve">-Західної залізниці, внаслідок якої сплата єдиного внеску по окремих відокремлених структурних підрозділах здійснюється за місцем реєстрації головного підприємства (середньомісячні втрати – 24,1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.). </w:t>
            </w:r>
          </w:p>
          <w:p w:rsidR="00E20811" w:rsidRPr="00F43EED" w:rsidRDefault="00E20811" w:rsidP="0000432A">
            <w:pPr>
              <w:ind w:firstLine="459"/>
              <w:jc w:val="both"/>
            </w:pPr>
            <w:r w:rsidRPr="00F43EED">
              <w:t xml:space="preserve">Негативний вплив на надходження єдиного внеску має і зниження кількості платників. Станом 01.05.2016 на обліку в області перебуває </w:t>
            </w:r>
            <w:r w:rsidRPr="00F43EED">
              <w:rPr>
                <w:lang w:val="ru-RU"/>
              </w:rPr>
              <w:t xml:space="preserve">115500 </w:t>
            </w:r>
            <w:r w:rsidRPr="00F43EED">
              <w:t xml:space="preserve">платників єдиного внеску (юридичні особи  – </w:t>
            </w:r>
            <w:r w:rsidRPr="00F43EED">
              <w:rPr>
                <w:lang w:val="ru-RU"/>
              </w:rPr>
              <w:t>29796</w:t>
            </w:r>
            <w:r w:rsidRPr="00F43EED">
              <w:t xml:space="preserve">, фізичні – </w:t>
            </w:r>
            <w:r w:rsidRPr="00F43EED">
              <w:rPr>
                <w:lang w:val="ru-RU"/>
              </w:rPr>
              <w:t>85704</w:t>
            </w:r>
            <w:r w:rsidRPr="00F43EED">
              <w:t xml:space="preserve">). В порівнянні з 01.01.2016 кількість платників зменшилась на 78 або на 0,07% (на 01.01.2016 року на обліку перебувало 115578 платників (юридичні особи – 29785, фізичні – 85793). </w:t>
            </w:r>
          </w:p>
          <w:p w:rsidR="00E20811" w:rsidRPr="00F43EED" w:rsidRDefault="00E20811" w:rsidP="0000432A">
            <w:pPr>
              <w:ind w:firstLine="459"/>
              <w:jc w:val="both"/>
            </w:pPr>
            <w:r w:rsidRPr="00F43EED">
              <w:t xml:space="preserve">Борг з єдиного соціального внеску на 01.05.2016 становить 93,9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, (в </w:t>
            </w:r>
            <w:proofErr w:type="spellStart"/>
            <w:r w:rsidRPr="00F43EED">
              <w:t>т.ч</w:t>
            </w:r>
            <w:proofErr w:type="spellEnd"/>
            <w:r w:rsidRPr="00F43EED">
              <w:t>.: по юридичних особах – 58,0</w:t>
            </w:r>
            <w:r w:rsidRPr="00F43EED">
              <w:rPr>
                <w:lang w:val="en-US"/>
              </w:rPr>
              <w:t> 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., по фізичних особах – 35,9 млн. гривень) і зріс до початку року на 6,4 </w:t>
            </w:r>
            <w:proofErr w:type="spellStart"/>
            <w:r w:rsidRPr="00F43EED">
              <w:t>млн.грн</w:t>
            </w:r>
            <w:proofErr w:type="spellEnd"/>
            <w:r w:rsidRPr="00F43EED">
              <w:t>..</w:t>
            </w:r>
          </w:p>
          <w:p w:rsidR="00A156B8" w:rsidRPr="00F43EED" w:rsidRDefault="00A156B8" w:rsidP="0000432A">
            <w:pPr>
              <w:suppressAutoHyphens/>
              <w:ind w:firstLine="459"/>
              <w:jc w:val="both"/>
              <w:rPr>
                <w:b/>
              </w:rPr>
            </w:pPr>
          </w:p>
        </w:tc>
      </w:tr>
      <w:tr w:rsidR="00A156B8" w:rsidRPr="00F43EED" w:rsidTr="000E5B5F">
        <w:trPr>
          <w:trHeight w:val="284"/>
        </w:trPr>
        <w:tc>
          <w:tcPr>
            <w:tcW w:w="1702" w:type="dxa"/>
            <w:shd w:val="clear" w:color="auto" w:fill="FFFFFF" w:themeFill="background1"/>
          </w:tcPr>
          <w:p w:rsidR="00A156B8" w:rsidRPr="00F43EED" w:rsidRDefault="00A156B8" w:rsidP="00CB796B">
            <w:pPr>
              <w:pStyle w:val="32"/>
              <w:snapToGrid w:val="0"/>
              <w:spacing w:after="0"/>
              <w:rPr>
                <w:b/>
                <w:i/>
                <w:sz w:val="24"/>
                <w:szCs w:val="24"/>
              </w:rPr>
            </w:pPr>
            <w:r w:rsidRPr="00F43EED">
              <w:rPr>
                <w:b/>
                <w:i/>
                <w:sz w:val="24"/>
                <w:szCs w:val="24"/>
              </w:rPr>
              <w:t>Виконання основних показників діяльності Пенсійного фонду України у Вінницькій області</w:t>
            </w:r>
          </w:p>
        </w:tc>
        <w:tc>
          <w:tcPr>
            <w:tcW w:w="8930" w:type="dxa"/>
            <w:shd w:val="clear" w:color="auto" w:fill="FFFFFF" w:themeFill="background1"/>
          </w:tcPr>
          <w:p w:rsidR="008F5D19" w:rsidRPr="00F43EED" w:rsidRDefault="008F5D19" w:rsidP="0000432A">
            <w:pPr>
              <w:ind w:firstLine="459"/>
              <w:jc w:val="both"/>
            </w:pPr>
            <w:r w:rsidRPr="00F43EED">
              <w:t xml:space="preserve">Згідно із  даними Головного управління Пенсійного фонду України у Вінницькій області в області </w:t>
            </w:r>
            <w:r w:rsidRPr="00F43EED">
              <w:rPr>
                <w:bCs/>
              </w:rPr>
              <w:t>забезпечено стабільну виплату всіх пенсійних зобов’язань</w:t>
            </w:r>
            <w:r w:rsidRPr="00F43EED">
              <w:t xml:space="preserve">, а також докладається максимум зусиль для швидкого й повного перерахунку пенсійних виплат у зв’язку із змінами в законодавстві. </w:t>
            </w:r>
          </w:p>
          <w:p w:rsidR="008F5D19" w:rsidRPr="00F43EED" w:rsidRDefault="008F5D19" w:rsidP="0000432A">
            <w:pPr>
              <w:ind w:firstLine="459"/>
              <w:jc w:val="both"/>
            </w:pPr>
            <w:r w:rsidRPr="00F43EED">
              <w:t xml:space="preserve">За січень-квітень 2016 року до бюджету Пенсійного фонду України у Вінницькій області, з усіх джерел фінансування,  за оперативними даними, надходження склали 2,7 млрд. грн. (в </w:t>
            </w:r>
            <w:proofErr w:type="spellStart"/>
            <w:r w:rsidRPr="00F43EED">
              <w:t>т.ч</w:t>
            </w:r>
            <w:proofErr w:type="spellEnd"/>
            <w:r w:rsidRPr="00F43EED">
              <w:t xml:space="preserve">. за даними Міністерства доходів і зборів сума ЄСВ – 813,5 млн. грн.) і в порівнянні з січнем-квітнем 2015 року зменшились на 6,6, або на 190,8 млн. грн. </w:t>
            </w:r>
          </w:p>
          <w:p w:rsidR="008F5D19" w:rsidRPr="00F43EED" w:rsidRDefault="008F5D19" w:rsidP="0000432A">
            <w:pPr>
              <w:ind w:firstLine="459"/>
              <w:jc w:val="both"/>
            </w:pPr>
            <w:r w:rsidRPr="00F43EED">
              <w:t xml:space="preserve">У частині фінансування виплати пенсій Вінниччина залишається дотаційним регіоном. Станом на 01.05.2016 року забезпеченість власними коштами на виплату пенсій складає </w:t>
            </w:r>
            <w:r w:rsidRPr="00F43EED">
              <w:rPr>
                <w:lang w:val="ru-RU"/>
              </w:rPr>
              <w:t>31,7</w:t>
            </w:r>
            <w:r w:rsidRPr="00F43EED">
              <w:t>% і в порівнянні з відповідним періодом минулого року зменшилась на 15,7 відсоткових пункти.</w:t>
            </w:r>
          </w:p>
          <w:p w:rsidR="008F5D19" w:rsidRPr="00F43EED" w:rsidRDefault="008F5D19" w:rsidP="0000432A">
            <w:pPr>
              <w:ind w:firstLine="459"/>
              <w:jc w:val="both"/>
            </w:pPr>
            <w:r w:rsidRPr="00F43EED">
              <w:t>Фактичні видатки на виплату пенсій та грошової допомоги у Вінницькій області за січень - квітень 2016 року, склали 2,62 млрд. грн., що майже на 9,2%, або на 265,2 млн. грн. менше, ніж у відповідному періоді минулого року.</w:t>
            </w:r>
          </w:p>
          <w:p w:rsidR="008F5D19" w:rsidRPr="00F43EED" w:rsidRDefault="008F5D19" w:rsidP="0000432A">
            <w:pPr>
              <w:ind w:firstLine="459"/>
              <w:jc w:val="both"/>
            </w:pPr>
            <w:r w:rsidRPr="00F43EED">
              <w:t xml:space="preserve"> Станом на 01.04.2016 в області фактично отримують пенсії 470901 особа. Середньомісячний розмір пенсії складає 1461  грн. 90  коп. і зріс, у порівнянні з 01.04.16 року на 8,52%, або на 114 грн.83 коп.</w:t>
            </w:r>
            <w:r w:rsidRPr="00F43EED">
              <w:rPr>
                <w:i/>
              </w:rPr>
              <w:t>(становив 1347 грн. 07 коп.).</w:t>
            </w:r>
          </w:p>
          <w:p w:rsidR="008F5D19" w:rsidRPr="00F43EED" w:rsidRDefault="008F5D19" w:rsidP="0000432A">
            <w:pPr>
              <w:ind w:firstLine="459"/>
              <w:jc w:val="both"/>
            </w:pPr>
            <w:r w:rsidRPr="00F43EED">
              <w:t xml:space="preserve">Крім того, станом на </w:t>
            </w:r>
            <w:r w:rsidRPr="00F43EED">
              <w:rPr>
                <w:bCs/>
              </w:rPr>
              <w:t xml:space="preserve">01.04.2016 </w:t>
            </w:r>
            <w:r w:rsidRPr="00F43EED">
              <w:t xml:space="preserve">року в області отримують пенсії </w:t>
            </w:r>
            <w:r w:rsidRPr="00F43EED">
              <w:rPr>
                <w:bCs/>
              </w:rPr>
              <w:t xml:space="preserve">21273 </w:t>
            </w:r>
            <w:r w:rsidRPr="00F43EED">
              <w:t>військовослужбовці.</w:t>
            </w:r>
          </w:p>
          <w:p w:rsidR="00A156B8" w:rsidRPr="00F43EED" w:rsidRDefault="008F5D19" w:rsidP="0000432A">
            <w:pPr>
              <w:suppressAutoHyphens/>
              <w:ind w:firstLine="459"/>
              <w:jc w:val="both"/>
              <w:rPr>
                <w:rStyle w:val="aff6"/>
                <w:bCs/>
                <w:i w:val="0"/>
                <w:iCs w:val="0"/>
              </w:rPr>
            </w:pPr>
            <w:r w:rsidRPr="00F43EED">
              <w:t xml:space="preserve">На 01.04.2016 року середній розмір пенсії військовослужбовця складав </w:t>
            </w:r>
            <w:r w:rsidRPr="00F43EED">
              <w:rPr>
                <w:bCs/>
              </w:rPr>
              <w:t>2509 грн. 18</w:t>
            </w:r>
            <w:r w:rsidRPr="00F43EED">
              <w:t xml:space="preserve"> коп. і зріс, у порівнянні з його рівнем станом на </w:t>
            </w:r>
            <w:r w:rsidRPr="00F43EED">
              <w:rPr>
                <w:bCs/>
              </w:rPr>
              <w:t>01.04.2015</w:t>
            </w:r>
            <w:r w:rsidRPr="00F43EED">
              <w:t xml:space="preserve"> року </w:t>
            </w:r>
            <w:r w:rsidRPr="00F43EED">
              <w:rPr>
                <w:bCs/>
              </w:rPr>
              <w:t>(2470 грн. 80 коп.) на 1,55%, або на 38 грн.38 коп.</w:t>
            </w:r>
          </w:p>
        </w:tc>
      </w:tr>
      <w:tr w:rsidR="00A156B8" w:rsidRPr="00F43EED" w:rsidTr="00251ED5">
        <w:trPr>
          <w:trHeight w:val="430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A156B8" w:rsidRPr="00F43EED" w:rsidRDefault="00A156B8" w:rsidP="00CB796B">
            <w:pPr>
              <w:snapToGrid w:val="0"/>
              <w:rPr>
                <w:b/>
                <w:i/>
              </w:rPr>
            </w:pPr>
            <w:r w:rsidRPr="00F43EED">
              <w:rPr>
                <w:b/>
                <w:i/>
              </w:rPr>
              <w:t>Заборгованість до Пенсійного фонду України</w:t>
            </w: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:rsidR="008F5D19" w:rsidRPr="00F43EED" w:rsidRDefault="008F5D19" w:rsidP="0000432A">
            <w:pPr>
              <w:spacing w:line="252" w:lineRule="auto"/>
              <w:ind w:firstLine="459"/>
              <w:jc w:val="both"/>
            </w:pPr>
            <w:r w:rsidRPr="00F43EED">
              <w:t xml:space="preserve">Відповідно до інформації Головного управління Пенсійного фонду України у Вінницькій області загальна заборгованість до Пенсійного фонду України у Вінницькій області на 01.04.2016 року в порівнянні із 01.01.2016 року скоротилася на 2506,8 тис. грн. або 4,7% та складає 50533,3 тис. грн., з них: борг зі сплати страхових внесках – 29592,0 тис. грн., борг з відшкодування пільгових, наукових пенсіях та </w:t>
            </w:r>
            <w:proofErr w:type="spellStart"/>
            <w:r w:rsidRPr="00F43EED">
              <w:t>регресних</w:t>
            </w:r>
            <w:proofErr w:type="spellEnd"/>
            <w:r w:rsidRPr="00F43EED">
              <w:t xml:space="preserve"> вимогах – 20941,3тис. грн.</w:t>
            </w:r>
          </w:p>
          <w:p w:rsidR="008F5D19" w:rsidRPr="00F43EED" w:rsidRDefault="008F5D19" w:rsidP="0000432A">
            <w:pPr>
              <w:spacing w:line="252" w:lineRule="auto"/>
              <w:ind w:firstLine="459"/>
              <w:jc w:val="both"/>
            </w:pPr>
            <w:r w:rsidRPr="00F43EED">
              <w:t xml:space="preserve">Протягом І кварталу 2016 року відбулося </w:t>
            </w:r>
            <w:r w:rsidRPr="00F43EED">
              <w:rPr>
                <w:b/>
              </w:rPr>
              <w:t xml:space="preserve">скорочення </w:t>
            </w:r>
            <w:r w:rsidRPr="00F43EED">
              <w:t xml:space="preserve">заборгованості до бюджету Фонду по </w:t>
            </w:r>
            <w:r w:rsidRPr="00F43EED">
              <w:rPr>
                <w:b/>
              </w:rPr>
              <w:t xml:space="preserve">страхових внесках </w:t>
            </w:r>
            <w:r w:rsidRPr="00F43EED">
              <w:t>на суму</w:t>
            </w:r>
            <w:r w:rsidRPr="00F43EED">
              <w:rPr>
                <w:b/>
              </w:rPr>
              <w:t xml:space="preserve"> 1756,6 грн. </w:t>
            </w:r>
            <w:r w:rsidRPr="00F43EED">
              <w:t xml:space="preserve">Найбільше скорочення заборгованості відбулося в наступних територіальних управліннях:  </w:t>
            </w:r>
            <w:proofErr w:type="spellStart"/>
            <w:r w:rsidRPr="00F43EED">
              <w:t>Літинському</w:t>
            </w:r>
            <w:proofErr w:type="spellEnd"/>
            <w:r w:rsidRPr="00F43EED">
              <w:t xml:space="preserve"> (на 648,4 тис. грн. і залишилась сума боргу 366,7 тис. грн.);  </w:t>
            </w:r>
            <w:proofErr w:type="spellStart"/>
            <w:r w:rsidRPr="00F43EED">
              <w:t>м.Ладижині</w:t>
            </w:r>
            <w:proofErr w:type="spellEnd"/>
            <w:r w:rsidRPr="00F43EED">
              <w:t xml:space="preserve"> (на 501,5 </w:t>
            </w:r>
            <w:r w:rsidRPr="00F43EED">
              <w:lastRenderedPageBreak/>
              <w:t xml:space="preserve">тис. грн. і залишилась сума боргу 2943,8 тис. грн.);  Бершадському (на 410,8 тис. грн. і залишилась сума боргу 893,3 тис. грн.);  Хмільницькому(на 158,3 тис. грн. і залишилась сума боргу 138,7 тис. грн.); та  </w:t>
            </w:r>
            <w:proofErr w:type="spellStart"/>
            <w:r w:rsidRPr="00F43EED">
              <w:t>м.Вінниці</w:t>
            </w:r>
            <w:proofErr w:type="spellEnd"/>
            <w:r w:rsidRPr="00F43EED">
              <w:t xml:space="preserve"> (на 15,5 тис. грн. і залишилась сума боргу 13097,0 тис. грн.).</w:t>
            </w:r>
          </w:p>
          <w:p w:rsidR="008F5D19" w:rsidRPr="00F43EED" w:rsidRDefault="008F5D19" w:rsidP="0000432A">
            <w:pPr>
              <w:spacing w:line="252" w:lineRule="auto"/>
              <w:ind w:firstLine="459"/>
              <w:jc w:val="both"/>
            </w:pPr>
            <w:r w:rsidRPr="00F43EED">
              <w:t xml:space="preserve">Заборгованість з відшкодування витрат на виплату та доставку пільгових пенсій з початку 2016 року скоротилася на 722,18 тис. грн. та станом на 01.04.2016 року становить 20822,1 тис. грн. Найбільше скорочення боргу по пільгових пенсіях відбулося по:  Жмеринському об’єднаному управлінню (на 437,6 тис. грн. та становить 900,8 тис. грн.);  </w:t>
            </w:r>
            <w:proofErr w:type="spellStart"/>
            <w:r w:rsidRPr="00F43EED">
              <w:t>Шаргородському</w:t>
            </w:r>
            <w:proofErr w:type="spellEnd"/>
            <w:r w:rsidRPr="00F43EED">
              <w:t xml:space="preserve"> об’єднаному управлінню (на 346,0 тис. грн. та становить 514,1 тис. грн.);  </w:t>
            </w:r>
            <w:proofErr w:type="spellStart"/>
            <w:r w:rsidRPr="00F43EED">
              <w:t>Липовецькому</w:t>
            </w:r>
            <w:proofErr w:type="spellEnd"/>
            <w:r w:rsidRPr="00F43EED">
              <w:t xml:space="preserve"> об’єднаному управлінню (на 90,4 тис. грн. та становить 1288,3 тис. грн.);  по управлінню в </w:t>
            </w:r>
            <w:proofErr w:type="spellStart"/>
            <w:r w:rsidRPr="00F43EED">
              <w:t>Теплицькому</w:t>
            </w:r>
            <w:proofErr w:type="spellEnd"/>
            <w:r w:rsidRPr="00F43EED">
              <w:t xml:space="preserve"> районі (на 113,3 тис. грн. та становить 299,4 тис. грн.);  Бершадському об’єднаному управлінню (на 116,3 тис. грн. та становить 341,9 тис. грн.). </w:t>
            </w:r>
          </w:p>
          <w:p w:rsidR="0026256E" w:rsidRPr="00F43EED" w:rsidRDefault="008F5D19" w:rsidP="0000432A">
            <w:pPr>
              <w:spacing w:line="252" w:lineRule="auto"/>
              <w:ind w:firstLine="459"/>
              <w:jc w:val="both"/>
            </w:pPr>
            <w:r w:rsidRPr="00F43EED">
              <w:t xml:space="preserve">Водночас, зросла заборгованість з відшкодування пільгових пенсій в </w:t>
            </w:r>
            <w:proofErr w:type="spellStart"/>
            <w:r w:rsidRPr="00F43EED">
              <w:t>м.Вінниці</w:t>
            </w:r>
            <w:proofErr w:type="spellEnd"/>
            <w:r w:rsidRPr="00F43EED">
              <w:t xml:space="preserve"> (на 381,0 тис. грн. і залишилась сума боргу 11799,6 тис. грн.), </w:t>
            </w:r>
            <w:proofErr w:type="spellStart"/>
            <w:r w:rsidRPr="00F43EED">
              <w:t>Калинівському</w:t>
            </w:r>
            <w:proofErr w:type="spellEnd"/>
            <w:r w:rsidRPr="00F43EED">
              <w:t xml:space="preserve"> районі (на 94,6 тис. грн. і залишилась сума боргу 561,7 тис. грн.), </w:t>
            </w:r>
            <w:proofErr w:type="spellStart"/>
            <w:r w:rsidRPr="00F43EED">
              <w:t>м.Ладижині</w:t>
            </w:r>
            <w:proofErr w:type="spellEnd"/>
            <w:r w:rsidRPr="00F43EED">
              <w:t xml:space="preserve"> (на 91,3 тис. грн. і залишилась сума боргу 1295,4 тис. грн.).</w:t>
            </w:r>
          </w:p>
        </w:tc>
      </w:tr>
      <w:tr w:rsidR="00BA11DE" w:rsidRPr="00F43EED" w:rsidTr="00251ED5">
        <w:trPr>
          <w:trHeight w:val="210"/>
        </w:trPr>
        <w:tc>
          <w:tcPr>
            <w:tcW w:w="1063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A11DE" w:rsidRPr="00F43EED" w:rsidRDefault="00BA11DE" w:rsidP="00CB796B">
            <w:pPr>
              <w:pStyle w:val="310"/>
              <w:tabs>
                <w:tab w:val="left" w:pos="3960"/>
                <w:tab w:val="left" w:pos="4005"/>
                <w:tab w:val="center" w:pos="5218"/>
              </w:tabs>
              <w:snapToGrid w:val="0"/>
              <w:ind w:firstLine="459"/>
              <w:jc w:val="left"/>
              <w:rPr>
                <w:rFonts w:cs="Times New Roman"/>
                <w:b/>
                <w:sz w:val="24"/>
              </w:rPr>
            </w:pPr>
          </w:p>
          <w:p w:rsidR="00BA11DE" w:rsidRPr="00F43EED" w:rsidRDefault="00BA11DE" w:rsidP="00CB796B">
            <w:pPr>
              <w:pStyle w:val="310"/>
              <w:snapToGrid w:val="0"/>
              <w:ind w:firstLine="459"/>
              <w:jc w:val="center"/>
              <w:rPr>
                <w:rFonts w:cs="Times New Roman"/>
                <w:b/>
                <w:sz w:val="24"/>
                <w:lang w:val="en-US"/>
              </w:rPr>
            </w:pPr>
            <w:r w:rsidRPr="00F43EED">
              <w:rPr>
                <w:rFonts w:cs="Times New Roman"/>
                <w:b/>
                <w:sz w:val="24"/>
              </w:rPr>
              <w:t>ЗАРОБІТНА ПЛАТА</w:t>
            </w:r>
          </w:p>
        </w:tc>
      </w:tr>
      <w:tr w:rsidR="00A156B8" w:rsidRPr="00F43EED" w:rsidTr="00251ED5">
        <w:trPr>
          <w:trHeight w:val="78"/>
        </w:trPr>
        <w:tc>
          <w:tcPr>
            <w:tcW w:w="1702" w:type="dxa"/>
            <w:shd w:val="clear" w:color="auto" w:fill="auto"/>
          </w:tcPr>
          <w:p w:rsidR="00A156B8" w:rsidRPr="00F43EED" w:rsidRDefault="00A156B8" w:rsidP="00CB796B">
            <w:pPr>
              <w:pStyle w:val="310"/>
              <w:snapToGrid w:val="0"/>
              <w:jc w:val="left"/>
              <w:rPr>
                <w:rFonts w:cs="Times New Roman"/>
                <w:b/>
                <w:i/>
                <w:sz w:val="24"/>
              </w:rPr>
            </w:pPr>
            <w:r w:rsidRPr="00F43EED">
              <w:rPr>
                <w:rFonts w:cs="Times New Roman"/>
                <w:b/>
                <w:i/>
                <w:sz w:val="24"/>
              </w:rPr>
              <w:t>Рівень середньомісячної заробітної плати</w:t>
            </w:r>
          </w:p>
        </w:tc>
        <w:tc>
          <w:tcPr>
            <w:tcW w:w="8930" w:type="dxa"/>
            <w:shd w:val="clear" w:color="auto" w:fill="auto"/>
          </w:tcPr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  <w:r w:rsidRPr="0083726C">
              <w:rPr>
                <w:sz w:val="24"/>
              </w:rPr>
              <w:t xml:space="preserve">У 2016 році продовжується позитивна тенденція щодо зростання  темпів приросту заробітної плати як у області, так і по Україні в цілому. В той же час, у Вінницькій області рівень середньомісячної заробітної плати та темп її росту дещо нижче </w:t>
            </w:r>
            <w:proofErr w:type="spellStart"/>
            <w:r w:rsidRPr="0083726C">
              <w:rPr>
                <w:sz w:val="24"/>
              </w:rPr>
              <w:t>середньоукраїнського</w:t>
            </w:r>
            <w:proofErr w:type="spellEnd"/>
            <w:r w:rsidRPr="0083726C">
              <w:rPr>
                <w:sz w:val="24"/>
              </w:rPr>
              <w:t>.</w:t>
            </w: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  <w:r w:rsidRPr="0083726C">
              <w:rPr>
                <w:sz w:val="24"/>
              </w:rPr>
              <w:t xml:space="preserve">Відповідно до даних Головного управління статистики у Вінницькій області приріст середньомісячної заробітної плати за січень-квітень 2016 року складає 24,6% (ріст на 3,8 відсоткові пункти), тоді як у відповідному періоді 2015 року він становив 20,8%. По Україні відповідно приріст складає – 25,7%, і зріс на 5,2 </w:t>
            </w:r>
            <w:proofErr w:type="spellStart"/>
            <w:r w:rsidRPr="0083726C">
              <w:rPr>
                <w:sz w:val="24"/>
              </w:rPr>
              <w:t>в.п</w:t>
            </w:r>
            <w:proofErr w:type="spellEnd"/>
            <w:r w:rsidRPr="0083726C">
              <w:rPr>
                <w:sz w:val="24"/>
              </w:rPr>
              <w:t xml:space="preserve">. </w:t>
            </w: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  <w:r w:rsidRPr="0083726C">
              <w:rPr>
                <w:sz w:val="24"/>
              </w:rPr>
              <w:t xml:space="preserve">Номінальна середньомісячна заробітна плата за січень-квітень 2016 року до відповідного періоду 2015 року зросла на 272 грн. і становить 3667 грн. За рівнем середньомісячної заробітної плати область займає 17 місце серед регіонів України, а за темпами росту середньомісячної заробітної плати область займає відповідно 18 місце. </w:t>
            </w: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  <w:r w:rsidRPr="0083726C">
              <w:rPr>
                <w:sz w:val="24"/>
              </w:rPr>
              <w:t xml:space="preserve">Індекс реальної  заробітної плати  по області за січень-квітень 2016 року в порівнянні з відповідним періодом 2015 року зріс на 18,4 </w:t>
            </w:r>
            <w:proofErr w:type="spellStart"/>
            <w:r w:rsidRPr="0083726C">
              <w:rPr>
                <w:sz w:val="24"/>
              </w:rPr>
              <w:t>в.п</w:t>
            </w:r>
            <w:proofErr w:type="spellEnd"/>
            <w:r w:rsidRPr="0083726C">
              <w:rPr>
                <w:sz w:val="24"/>
              </w:rPr>
              <w:t xml:space="preserve">. і складає 97,9% (по Україні зріс на 19 </w:t>
            </w:r>
            <w:proofErr w:type="spellStart"/>
            <w:r w:rsidRPr="0083726C">
              <w:rPr>
                <w:sz w:val="24"/>
              </w:rPr>
              <w:t>в.п</w:t>
            </w:r>
            <w:proofErr w:type="spellEnd"/>
            <w:r w:rsidRPr="0083726C">
              <w:rPr>
                <w:sz w:val="24"/>
              </w:rPr>
              <w:t>. і склав 96,5%). За індексом реальної нарахованої заробітної плати за звітний період область розділяє з Львівською областю 6 місце в рейтингу регіонів України.</w:t>
            </w: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  <w:r w:rsidRPr="0083726C">
              <w:rPr>
                <w:sz w:val="24"/>
              </w:rPr>
              <w:t xml:space="preserve">Середньомісячна заробітна плата по області у квітні 2016 року зросла   на 18,6%, або на 600,7 грн. до квітня 2015 року і  склала 3837,38 грн. (у 2,79 рази більша від встановленого по Україні прожиткового мінімуму для працездатних осіб - 1378 грн.). </w:t>
            </w: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  <w:r w:rsidRPr="0083726C">
              <w:rPr>
                <w:sz w:val="24"/>
              </w:rPr>
              <w:t>В області можна відмітити значний рівень диференціації заробітної плати, коефіцієнт якої між найвищим та найнижчим рівнем оплати праці за основними видами діяльності у січні - квітні 2016 року  складає 3,6 (найвищий рівень середньомісячної зарплати у сфері інформації та телекомунікацій – 6675,68 грн. (в порівнянні з відповідним періодом минулого року зарплата зросла на 35,4%, або на 1746,11 грн., у 1,82 рази більше середнього рівня по економіці), найнижчий - у сфері поштової та кур’єрської діяльності – 1874,99 грн. (в порівнянні з відповідним періодом минулого року зарплата зросла на 28%, або на 410,66  грн.,   в 2 рази  менше середнього рівня по економіці).</w:t>
            </w: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  <w:r w:rsidRPr="0083726C">
              <w:rPr>
                <w:sz w:val="24"/>
              </w:rPr>
              <w:t xml:space="preserve">В розрізі видів діяльності, крім зазначеного найвищий рівень середньомісячної заробітної плати в області за січень-квітень 2016 року досягнуто у працівників, які зайняті у сфері   фінансової та страхової діяльності – 5596,36 грн. (в </w:t>
            </w:r>
            <w:r w:rsidRPr="0083726C">
              <w:rPr>
                <w:sz w:val="24"/>
              </w:rPr>
              <w:lastRenderedPageBreak/>
              <w:t>порівнянні з відповідним періодом минулого року зросла на 18,1 %, або на 858,14 грн., в 1,5 рази  перевищує середній рівень по економіці), в галузі промисловості, де середньомісячна заробітна плата становить – 4801,26 грн. (зросла на 31,9%, або на 1162,33 грн., і на 30,9% перевищує середній рівень по економіці) тощо.</w:t>
            </w: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  <w:r w:rsidRPr="0083726C">
              <w:rPr>
                <w:sz w:val="24"/>
              </w:rPr>
              <w:t xml:space="preserve">Між підвидами промисловості коефіцієнт диференціації оплати праці складає 4,3: найвищий рівень середньомісячної заробітної плати за січень-квітень 2016 року отримують працівники підприємств переробної промисловості, які займаються виробництвом основних фармацевтичних продуктів і фармацевтичних препаратів – 11520,65 грн. (в порівнянні з відповідним періодом минулого року зарплата зросла на 49,3% або на 3806,69 грн., у 3,1  рази перевищує середній рівень по економіці), а найменший - на підприємствах, що займаються виробництвом машин і устаткування, не віднесених до інших угрупувань – 2663,9 грн. (в порівнянні з відповідним періодом минулого року зарплата зросла на 20,4%, або на 451,04 грн., проте на 20,4% менше середнього рівня по економіці). </w:t>
            </w: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  <w:r w:rsidRPr="0083726C">
              <w:rPr>
                <w:sz w:val="24"/>
              </w:rPr>
              <w:t xml:space="preserve">Серед промислових підприємств значний рівень середньомісячної заробітної плати за січень-квітень  2016 року на підприємствах: з постачання електроенергії, газу, пари та кондиційованого повітря – 5923,31 грн. (ріст на 32,5 %, або на 1451,83  грн., в 1,6 рази перевищує середній рівень по економіці), з виробництва комп’ютерів, електронної та оптичної продукції – 5830,68 грн. (ріст в 1,7 рази або на 2363,5 грн., в 1,6 рази  перевищує середній рівень по економіці області), з виробництва харчових продуктів, напоїв та тютюнових виробів середньомісячна зарплата склала – 5303,22 грн. (ріст на 33,5%, або на 1331,94 грн., на 44,6%  перевищує середній рівень по економіці), з виробництва меблів, іншої продукції, ремонту і монтажу машин і устаткування середньомісячна зарплата склала – 4938,91 грн. (ріст на 46,9%, або на 1576,65 грн., на 34,7%  перевищує середній рівень по економіці), з виробництва хімічних речовин і хімічної продукції – 4452,93 грн. (ріст  на 8,2%, або на 337,96 грн., на 21,4%  більше  середнього рівня по економіці) тощо. </w:t>
            </w: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  <w:r w:rsidRPr="0083726C">
              <w:rPr>
                <w:sz w:val="24"/>
              </w:rPr>
              <w:t>В галузі сільське господарство, лісове господарство та рибне господарство, де  середньомісячна заробітна плата працівників складає 3659,51 грн., зросла до відповідного періоду минулого року на 21,9%, або на 658,61  грн. та водночас  на 0,2% менше середнього рівня по економіці. В тому числі по виду діяльності сільське господарство – зарплата у сільгоспвиробників зросла на 17,8%, або на 523,12 грн., і складає 3465,73 грн. (на 5,5% менше середнього рівня по економіці області).</w:t>
            </w: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  <w:r w:rsidRPr="0083726C">
              <w:rPr>
                <w:sz w:val="24"/>
              </w:rPr>
              <w:t>В галузі транспорту, складського господарства, поштової та кур’єрської діяльності, де середньомісячна заробітна плата становить – 4240,05 грн. (зросла на 25,7%, або на 867,04 грн., і на 15,6% перевищує середній рівень по економіці), в тому числі складське господарство та допоміжна діяльність у сфері транспорту – 4770,39 грн. (зросла на 25 %, або на 1072,56 грн., і на 30,1 % перевищує середній рівень по економіці) тощо.</w:t>
            </w: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  <w:r w:rsidRPr="0083726C">
              <w:rPr>
                <w:sz w:val="24"/>
              </w:rPr>
              <w:t>Серед непромислових підприємств наростили рівень оплати праці на підприємствах у сфері державного управління й оборони; обов’язкового соціального страхування де середньомісячна заробітна плата за січень-квітень 2016 року в порівнянні з відповідним періодом минулого року зросла на 24,5 % або на 781,81  грн. і становить 3979,39 грн. (на 8,5% більше середнього рівня по економіці), сфері  будівництва середньомісячна заробітна плата зросла на 920,66 грн., або на 36,8%, і склала 3424,62 грн. (на 6,6 % менше середнього рівня по економіці),   сфері оптової та роздрібної торгівлі, ремонту автотранспортних засобів і мотоциклів – зросла на  22,4 %, або на 608,58 грн., і становить 3323,8 грн. (на 9,4 % менше  середнього рівня по економіці), та ін.</w:t>
            </w: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  <w:r w:rsidRPr="0083726C">
              <w:rPr>
                <w:sz w:val="24"/>
              </w:rPr>
              <w:t xml:space="preserve">Найменший рівень оплати праці в січні-квітні 2016 року мають працівники наступних галузей: у сфері мистецтва, спорту розваг та відпочинку - на 30% менше (складає 2565,24 грн., і зросла на 20,7%), у сфері охорони здоров’я та надання соціальної допомоги - на 27,6 % менше </w:t>
            </w:r>
            <w:proofErr w:type="spellStart"/>
            <w:r w:rsidRPr="0083726C">
              <w:rPr>
                <w:sz w:val="24"/>
              </w:rPr>
              <w:t>середньообласного</w:t>
            </w:r>
            <w:proofErr w:type="spellEnd"/>
            <w:r w:rsidRPr="0083726C">
              <w:rPr>
                <w:sz w:val="24"/>
              </w:rPr>
              <w:t xml:space="preserve"> рівня (складає – 2655,23 </w:t>
            </w:r>
            <w:r w:rsidRPr="0083726C">
              <w:rPr>
                <w:sz w:val="24"/>
              </w:rPr>
              <w:lastRenderedPageBreak/>
              <w:t>грн. і зросла на 19,4%), тимчасове розміщування й організація харчування відповідно на 27,5% менше (складає – 2659,99 грн. і зросла на 40,7%), тощо.</w:t>
            </w: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  <w:r w:rsidRPr="0083726C">
              <w:rPr>
                <w:sz w:val="24"/>
              </w:rPr>
              <w:t xml:space="preserve">Частка штатних працівників, яким </w:t>
            </w:r>
            <w:proofErr w:type="spellStart"/>
            <w:r w:rsidRPr="0083726C">
              <w:rPr>
                <w:sz w:val="24"/>
              </w:rPr>
              <w:t>оплачено</w:t>
            </w:r>
            <w:proofErr w:type="spellEnd"/>
            <w:r w:rsidRPr="0083726C">
              <w:rPr>
                <w:sz w:val="24"/>
              </w:rPr>
              <w:t xml:space="preserve"> 50% і більше робочого часу, встановленого на березень 2016р. – 198,4 </w:t>
            </w:r>
            <w:proofErr w:type="spellStart"/>
            <w:r w:rsidRPr="0083726C">
              <w:rPr>
                <w:sz w:val="24"/>
              </w:rPr>
              <w:t>тис.осіб</w:t>
            </w:r>
            <w:proofErr w:type="spellEnd"/>
            <w:r w:rsidRPr="0083726C">
              <w:rPr>
                <w:sz w:val="24"/>
              </w:rPr>
              <w:t>, з них питома вага працівників, яким нарахована заробітна плата у межах до 1378 грн. – 0,5%.</w:t>
            </w: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  <w:r w:rsidRPr="0083726C">
              <w:rPr>
                <w:sz w:val="24"/>
              </w:rPr>
              <w:t xml:space="preserve">В розрізі адміністративно-територіальних одиниць вище середнього рівня по області за січень-березень 2016 року отримують заробітну плату працівники 4 міст обласного значення: </w:t>
            </w: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  <w:r w:rsidRPr="0083726C">
              <w:rPr>
                <w:sz w:val="24"/>
              </w:rPr>
              <w:t xml:space="preserve">м. </w:t>
            </w:r>
            <w:proofErr w:type="spellStart"/>
            <w:r w:rsidRPr="0083726C">
              <w:rPr>
                <w:sz w:val="24"/>
              </w:rPr>
              <w:t>Ладижин</w:t>
            </w:r>
            <w:proofErr w:type="spellEnd"/>
            <w:r w:rsidRPr="0083726C">
              <w:rPr>
                <w:sz w:val="24"/>
              </w:rPr>
              <w:t xml:space="preserve"> – майже в 1,6 рази - 5613 грн. (+26,4% до рівня січня-березня 2015</w:t>
            </w:r>
            <w:r w:rsidRPr="0083726C">
              <w:rPr>
                <w:sz w:val="24"/>
                <w:lang w:val="ru-RU"/>
              </w:rPr>
              <w:t xml:space="preserve"> </w:t>
            </w:r>
            <w:r w:rsidRPr="0083726C">
              <w:rPr>
                <w:sz w:val="24"/>
              </w:rPr>
              <w:t>року);</w:t>
            </w: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  <w:r w:rsidRPr="0083726C">
              <w:rPr>
                <w:sz w:val="24"/>
              </w:rPr>
              <w:t xml:space="preserve">м. Козятин – на  23,3% - 4448 грн. (+21,8%); </w:t>
            </w: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  <w:r w:rsidRPr="0083726C">
              <w:rPr>
                <w:sz w:val="24"/>
              </w:rPr>
              <w:t>м. Жмеринка – на 14,5% - 4130 грн. (+28,7%);</w:t>
            </w: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  <w:r w:rsidRPr="0083726C">
              <w:rPr>
                <w:sz w:val="24"/>
              </w:rPr>
              <w:t>м. Вінниця – на 14% - 4112 грн. (+28,3%).</w:t>
            </w: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  <w:r w:rsidRPr="0083726C">
              <w:rPr>
                <w:sz w:val="24"/>
              </w:rPr>
              <w:t>та  2 районів:</w:t>
            </w: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  <w:r w:rsidRPr="0083726C">
              <w:rPr>
                <w:sz w:val="24"/>
              </w:rPr>
              <w:t>Гайсинського – на 7,6% - 3882 грн. (+36,3%);</w:t>
            </w: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  <w:proofErr w:type="spellStart"/>
            <w:r w:rsidRPr="0083726C">
              <w:rPr>
                <w:sz w:val="24"/>
              </w:rPr>
              <w:t>Іллінецького</w:t>
            </w:r>
            <w:proofErr w:type="spellEnd"/>
            <w:r w:rsidRPr="0083726C">
              <w:rPr>
                <w:sz w:val="24"/>
              </w:rPr>
              <w:t xml:space="preserve"> -  на 0,6% - 3630 грн. (+26,3%).</w:t>
            </w: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  <w:r w:rsidRPr="0083726C">
              <w:rPr>
                <w:sz w:val="24"/>
              </w:rPr>
              <w:t>У всіх інших районах та містах області рівень середньомісячної заробітної плати нижче середнього показника по області, серед яких найбільший її розмір мають наступні райони:</w:t>
            </w: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  <w:r w:rsidRPr="0083726C">
              <w:rPr>
                <w:sz w:val="24"/>
              </w:rPr>
              <w:t>Вінницький – 3596 грн. (+28,8% до рівня січня-березня 2015 року);</w:t>
            </w: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  <w:proofErr w:type="spellStart"/>
            <w:r w:rsidRPr="0083726C">
              <w:rPr>
                <w:sz w:val="24"/>
              </w:rPr>
              <w:t>Крижопільський</w:t>
            </w:r>
            <w:proofErr w:type="spellEnd"/>
            <w:r w:rsidRPr="0083726C">
              <w:rPr>
                <w:sz w:val="24"/>
              </w:rPr>
              <w:t xml:space="preserve"> – 3564 грн.  (+29,1%);</w:t>
            </w: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  <w:r w:rsidRPr="0083726C">
              <w:rPr>
                <w:sz w:val="24"/>
              </w:rPr>
              <w:t>Тростянецький - 3368 грн. (+25,2%);</w:t>
            </w: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  <w:r w:rsidRPr="0083726C">
              <w:rPr>
                <w:sz w:val="24"/>
              </w:rPr>
              <w:t>Хмільницький – 3327 грн. (+33,6%);</w:t>
            </w: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  <w:r w:rsidRPr="0083726C">
              <w:rPr>
                <w:sz w:val="24"/>
              </w:rPr>
              <w:t>Барський – 3302 грн. (+30,2%);</w:t>
            </w: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  <w:proofErr w:type="spellStart"/>
            <w:r w:rsidRPr="0083726C">
              <w:rPr>
                <w:sz w:val="24"/>
              </w:rPr>
              <w:t>Томашпільський</w:t>
            </w:r>
            <w:proofErr w:type="spellEnd"/>
            <w:r w:rsidRPr="0083726C">
              <w:rPr>
                <w:sz w:val="24"/>
              </w:rPr>
              <w:t xml:space="preserve"> 3193 грн. (+16,5%).</w:t>
            </w: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  <w:r w:rsidRPr="0083726C">
              <w:rPr>
                <w:sz w:val="24"/>
              </w:rPr>
              <w:t xml:space="preserve">Наростили середньомісячну заробітну плату протягом січня-березня 2016 року всі міста обласного значення (найбільше </w:t>
            </w:r>
            <w:proofErr w:type="spellStart"/>
            <w:r w:rsidRPr="0083726C">
              <w:rPr>
                <w:sz w:val="24"/>
              </w:rPr>
              <w:t>м.Могилів</w:t>
            </w:r>
            <w:proofErr w:type="spellEnd"/>
            <w:r w:rsidRPr="0083726C">
              <w:rPr>
                <w:sz w:val="24"/>
              </w:rPr>
              <w:t xml:space="preserve">-Подільський – на 34,7% і </w:t>
            </w:r>
            <w:proofErr w:type="spellStart"/>
            <w:r w:rsidRPr="0083726C">
              <w:rPr>
                <w:sz w:val="24"/>
              </w:rPr>
              <w:t>м.Хмільник</w:t>
            </w:r>
            <w:proofErr w:type="spellEnd"/>
            <w:r w:rsidRPr="0083726C">
              <w:rPr>
                <w:sz w:val="24"/>
              </w:rPr>
              <w:t xml:space="preserve"> – на 30,5%) та 26 районів, крім </w:t>
            </w:r>
            <w:proofErr w:type="spellStart"/>
            <w:r w:rsidRPr="0083726C">
              <w:rPr>
                <w:sz w:val="24"/>
              </w:rPr>
              <w:t>Піщанського</w:t>
            </w:r>
            <w:proofErr w:type="spellEnd"/>
            <w:r w:rsidRPr="0083726C">
              <w:rPr>
                <w:sz w:val="24"/>
              </w:rPr>
              <w:t xml:space="preserve"> (зменшення на 12,1%).</w:t>
            </w: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  <w:r w:rsidRPr="0083726C">
              <w:rPr>
                <w:sz w:val="24"/>
              </w:rPr>
              <w:t xml:space="preserve">Найбільший темп приросту рівня середньомісячної заробітної плати за січень-березень 2016 року в порівнянні з відповідним періодом 2015 року спостерігається у наступних районах: Гайсинському – на 36,3%, Хмільницькому – на 33,6%, </w:t>
            </w:r>
            <w:proofErr w:type="spellStart"/>
            <w:r w:rsidRPr="0083726C">
              <w:rPr>
                <w:sz w:val="24"/>
              </w:rPr>
              <w:t>Калинівському</w:t>
            </w:r>
            <w:proofErr w:type="spellEnd"/>
            <w:r w:rsidRPr="0083726C">
              <w:rPr>
                <w:sz w:val="24"/>
              </w:rPr>
              <w:t xml:space="preserve"> – 30,3%, Барському - на 30,2%,  Козятинському – на 29,5%, </w:t>
            </w:r>
            <w:proofErr w:type="spellStart"/>
            <w:r w:rsidRPr="0083726C">
              <w:rPr>
                <w:sz w:val="24"/>
              </w:rPr>
              <w:t>Погребищенському</w:t>
            </w:r>
            <w:proofErr w:type="spellEnd"/>
            <w:r w:rsidRPr="0083726C">
              <w:rPr>
                <w:sz w:val="24"/>
              </w:rPr>
              <w:t xml:space="preserve"> – на 29,2%),  тощо.</w:t>
            </w:r>
          </w:p>
          <w:p w:rsidR="00810577" w:rsidRPr="0083726C" w:rsidRDefault="00810577" w:rsidP="00810577">
            <w:pPr>
              <w:pStyle w:val="310"/>
              <w:snapToGrid w:val="0"/>
              <w:ind w:firstLine="709"/>
              <w:rPr>
                <w:sz w:val="24"/>
              </w:rPr>
            </w:pPr>
            <w:r w:rsidRPr="0083726C">
              <w:rPr>
                <w:sz w:val="24"/>
              </w:rPr>
              <w:t xml:space="preserve">Найнижча зарплата в області у працівників підприємств та організацій </w:t>
            </w:r>
            <w:proofErr w:type="spellStart"/>
            <w:r w:rsidRPr="0083726C">
              <w:rPr>
                <w:sz w:val="24"/>
              </w:rPr>
              <w:t>Піщанського</w:t>
            </w:r>
            <w:proofErr w:type="spellEnd"/>
            <w:r w:rsidRPr="0083726C">
              <w:rPr>
                <w:sz w:val="24"/>
              </w:rPr>
              <w:t xml:space="preserve"> - 2256 грн. (до січня-березня 2015 року скорочення на 12,1%, на 37,5% менше середньо обласного рівня), </w:t>
            </w:r>
            <w:proofErr w:type="spellStart"/>
            <w:r w:rsidRPr="0083726C">
              <w:rPr>
                <w:sz w:val="24"/>
              </w:rPr>
              <w:t>Чечельницького</w:t>
            </w:r>
            <w:proofErr w:type="spellEnd"/>
            <w:r w:rsidRPr="0083726C">
              <w:rPr>
                <w:sz w:val="24"/>
              </w:rPr>
              <w:t xml:space="preserve"> – 2520 грн. (відповідно +23,6%, на 30,1% менше), </w:t>
            </w:r>
            <w:proofErr w:type="spellStart"/>
            <w:r w:rsidRPr="0083726C">
              <w:rPr>
                <w:sz w:val="24"/>
              </w:rPr>
              <w:t>Теплицького</w:t>
            </w:r>
            <w:proofErr w:type="spellEnd"/>
            <w:r w:rsidRPr="0083726C">
              <w:rPr>
                <w:sz w:val="24"/>
              </w:rPr>
              <w:t xml:space="preserve"> - 2598 грн. (+18,6%, на 28% менше), </w:t>
            </w:r>
            <w:proofErr w:type="spellStart"/>
            <w:r w:rsidRPr="0083726C">
              <w:rPr>
                <w:sz w:val="24"/>
              </w:rPr>
              <w:t>Погребищенського</w:t>
            </w:r>
            <w:proofErr w:type="spellEnd"/>
            <w:r w:rsidRPr="0083726C">
              <w:rPr>
                <w:sz w:val="24"/>
              </w:rPr>
              <w:t xml:space="preserve"> – 2628 грн. (+29,2%, на 27,2% менше) тощо.</w:t>
            </w:r>
          </w:p>
          <w:p w:rsidR="00997C0E" w:rsidRPr="0083726C" w:rsidRDefault="00997C0E" w:rsidP="0000432A">
            <w:pPr>
              <w:tabs>
                <w:tab w:val="left" w:pos="0"/>
              </w:tabs>
              <w:suppressAutoHyphens/>
              <w:snapToGrid w:val="0"/>
              <w:ind w:firstLine="459"/>
              <w:jc w:val="both"/>
              <w:rPr>
                <w:sz w:val="28"/>
                <w:szCs w:val="28"/>
              </w:rPr>
            </w:pPr>
          </w:p>
        </w:tc>
      </w:tr>
      <w:tr w:rsidR="00A156B8" w:rsidRPr="00F43EED" w:rsidTr="00251ED5">
        <w:trPr>
          <w:trHeight w:val="1133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A156B8" w:rsidRPr="00F43EED" w:rsidRDefault="00A156B8" w:rsidP="00CB796B">
            <w:pPr>
              <w:pStyle w:val="310"/>
              <w:snapToGrid w:val="0"/>
              <w:jc w:val="left"/>
              <w:rPr>
                <w:rFonts w:cs="Times New Roman"/>
                <w:b/>
                <w:i/>
                <w:sz w:val="24"/>
              </w:rPr>
            </w:pPr>
            <w:r w:rsidRPr="00F43EED">
              <w:rPr>
                <w:rFonts w:cs="Times New Roman"/>
                <w:b/>
                <w:i/>
                <w:sz w:val="24"/>
              </w:rPr>
              <w:lastRenderedPageBreak/>
              <w:t>Проблемні питання: заборгованість із виплати заробітної плати</w:t>
            </w: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:rsidR="00810577" w:rsidRPr="0083726C" w:rsidRDefault="00810577" w:rsidP="00810577">
            <w:pPr>
              <w:suppressAutoHyphens/>
              <w:ind w:firstLine="709"/>
              <w:jc w:val="both"/>
              <w:rPr>
                <w:i/>
              </w:rPr>
            </w:pPr>
            <w:r w:rsidRPr="0083726C">
              <w:t>Відповідно до оперативної інформації Головного управління статистики у Вінницькій області</w:t>
            </w:r>
            <w:r w:rsidRPr="0083726C">
              <w:rPr>
                <w:b/>
              </w:rPr>
              <w:t xml:space="preserve"> </w:t>
            </w:r>
            <w:r w:rsidRPr="0083726C">
              <w:t>станом на 1 травня 2016 року, загальна сума заборгованості із заробітної плати</w:t>
            </w:r>
            <w:r w:rsidRPr="0083726C">
              <w:rPr>
                <w:b/>
                <w:bCs/>
              </w:rPr>
              <w:t xml:space="preserve"> </w:t>
            </w:r>
            <w:r w:rsidRPr="0083726C">
              <w:t xml:space="preserve">на 53 підприємствах області (включаючи 23 економічно активних, 26 підприємств-банкрутів та 4 економічно неактивні, які призупинили діяльність) становить в цілому </w:t>
            </w:r>
            <w:r w:rsidRPr="0083726C">
              <w:rPr>
                <w:b/>
              </w:rPr>
              <w:t>14659,3</w:t>
            </w:r>
            <w:r w:rsidRPr="0083726C">
              <w:rPr>
                <w:b/>
                <w:bCs/>
              </w:rPr>
              <w:t xml:space="preserve"> </w:t>
            </w:r>
            <w:proofErr w:type="spellStart"/>
            <w:r w:rsidRPr="0083726C">
              <w:rPr>
                <w:b/>
                <w:bCs/>
              </w:rPr>
              <w:t>тис.грн</w:t>
            </w:r>
            <w:proofErr w:type="spellEnd"/>
            <w:r w:rsidRPr="0083726C">
              <w:rPr>
                <w:b/>
                <w:bCs/>
              </w:rPr>
              <w:t>.</w:t>
            </w:r>
            <w:r w:rsidRPr="0083726C">
              <w:t xml:space="preserve">, в порівнянні з початком 2016 року зросла на 45,5%, або на 4583,4 </w:t>
            </w:r>
            <w:proofErr w:type="spellStart"/>
            <w:r w:rsidRPr="0083726C">
              <w:t>тис.грн</w:t>
            </w:r>
            <w:proofErr w:type="spellEnd"/>
            <w:r w:rsidRPr="0083726C">
              <w:t xml:space="preserve">., до рівня станом на 01.04.2016 року зменшилась на 5,5% або 853 </w:t>
            </w:r>
            <w:proofErr w:type="spellStart"/>
            <w:r w:rsidRPr="0083726C">
              <w:t>тис.грн</w:t>
            </w:r>
            <w:proofErr w:type="spellEnd"/>
            <w:r w:rsidRPr="0083726C">
              <w:t>.</w:t>
            </w:r>
            <w:r w:rsidRPr="0083726C">
              <w:rPr>
                <w:i/>
              </w:rPr>
              <w:t xml:space="preserve"> 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</w:pPr>
            <w:r w:rsidRPr="0083726C">
              <w:t>На</w:t>
            </w:r>
            <w:r w:rsidRPr="0083726C">
              <w:rPr>
                <w:b/>
                <w:bCs/>
              </w:rPr>
              <w:t xml:space="preserve"> </w:t>
            </w:r>
            <w:r w:rsidRPr="0083726C">
              <w:rPr>
                <w:u w:val="single"/>
              </w:rPr>
              <w:t>економічно активних підприємствах</w:t>
            </w:r>
            <w:r w:rsidRPr="0083726C">
              <w:rPr>
                <w:b/>
                <w:bCs/>
              </w:rPr>
              <w:t xml:space="preserve"> </w:t>
            </w:r>
            <w:r w:rsidRPr="0083726C">
              <w:t xml:space="preserve">області сума боргу на звітну дату становить 5362 </w:t>
            </w:r>
            <w:proofErr w:type="spellStart"/>
            <w:r w:rsidRPr="0083726C">
              <w:t>тис.грн</w:t>
            </w:r>
            <w:proofErr w:type="spellEnd"/>
            <w:r w:rsidRPr="0083726C">
              <w:t xml:space="preserve">. або 36,6% від загальної суми по області, проти 01.04.2016 року зменшилась на 18,4%, або на 1206,4 </w:t>
            </w:r>
            <w:proofErr w:type="spellStart"/>
            <w:r w:rsidRPr="0083726C">
              <w:t>тис.грн</w:t>
            </w:r>
            <w:proofErr w:type="spellEnd"/>
            <w:r w:rsidRPr="0083726C">
              <w:t xml:space="preserve">., до початку року зросла на 40,7%, або на 1551,8 </w:t>
            </w:r>
            <w:proofErr w:type="spellStart"/>
            <w:r w:rsidRPr="0083726C">
              <w:t>тис.грн</w:t>
            </w:r>
            <w:proofErr w:type="spellEnd"/>
            <w:r w:rsidRPr="0083726C">
              <w:t xml:space="preserve">. 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</w:pPr>
            <w:r w:rsidRPr="0083726C">
              <w:t>Сума боргу із заробітної плати на</w:t>
            </w:r>
            <w:r w:rsidRPr="0083726C">
              <w:rPr>
                <w:b/>
                <w:bCs/>
              </w:rPr>
              <w:t xml:space="preserve"> </w:t>
            </w:r>
            <w:r w:rsidRPr="0083726C">
              <w:rPr>
                <w:u w:val="single"/>
              </w:rPr>
              <w:t>підприємствах-банкрутах</w:t>
            </w:r>
            <w:r w:rsidRPr="0083726C">
              <w:t xml:space="preserve"> області проти початку 2016 року зросла на 26% або на 1373,9 </w:t>
            </w:r>
            <w:proofErr w:type="spellStart"/>
            <w:r w:rsidRPr="0083726C">
              <w:t>тис.грн</w:t>
            </w:r>
            <w:proofErr w:type="spellEnd"/>
            <w:r w:rsidRPr="0083726C">
              <w:t xml:space="preserve">., а до рівня станом на </w:t>
            </w:r>
            <w:r w:rsidRPr="0083726C">
              <w:lastRenderedPageBreak/>
              <w:t xml:space="preserve">01.04.2016 року зросла на 5,6% або на 353,4 </w:t>
            </w:r>
            <w:proofErr w:type="spellStart"/>
            <w:r w:rsidRPr="0083726C">
              <w:t>тис.грн</w:t>
            </w:r>
            <w:proofErr w:type="spellEnd"/>
            <w:r w:rsidRPr="0083726C">
              <w:t xml:space="preserve">. та станом на 01.05.2016 року складає 6662,4 </w:t>
            </w:r>
            <w:proofErr w:type="spellStart"/>
            <w:r w:rsidRPr="0083726C">
              <w:t>тис.грн</w:t>
            </w:r>
            <w:proofErr w:type="spellEnd"/>
            <w:r w:rsidRPr="0083726C">
              <w:t>.,</w:t>
            </w:r>
            <w:r w:rsidRPr="0083726C">
              <w:rPr>
                <w:lang w:val="ru-RU"/>
              </w:rPr>
              <w:t xml:space="preserve"> </w:t>
            </w:r>
            <w:r w:rsidRPr="0083726C">
              <w:t xml:space="preserve">або 45,4% від загальної суми боргу по області. 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  <w:rPr>
                <w:i/>
              </w:rPr>
            </w:pPr>
            <w:r w:rsidRPr="0083726C">
              <w:t>Заборгованість із зарплати на е</w:t>
            </w:r>
            <w:r w:rsidRPr="0083726C">
              <w:rPr>
                <w:u w:val="single"/>
              </w:rPr>
              <w:t>кономічно неактивних підприємствах</w:t>
            </w:r>
            <w:r w:rsidRPr="0083726C">
              <w:t xml:space="preserve"> </w:t>
            </w:r>
            <w:r w:rsidRPr="0083726C">
              <w:rPr>
                <w:i/>
              </w:rPr>
              <w:t>(які призупинили діяльність)</w:t>
            </w:r>
            <w:r w:rsidRPr="0083726C">
              <w:t xml:space="preserve"> станом на звітну дату складає  2634,9 </w:t>
            </w:r>
            <w:proofErr w:type="spellStart"/>
            <w:r w:rsidRPr="0083726C">
              <w:t>тис.грн</w:t>
            </w:r>
            <w:proofErr w:type="spellEnd"/>
            <w:r w:rsidRPr="0083726C">
              <w:t xml:space="preserve">. або 18% від загальної суми боргу по області і  по відношенню до 01.01.2016 року зросла в 2,7 рази або на 1657,7 </w:t>
            </w:r>
            <w:proofErr w:type="spellStart"/>
            <w:r w:rsidRPr="0083726C">
              <w:t>тис.грн</w:t>
            </w:r>
            <w:proofErr w:type="spellEnd"/>
            <w:r w:rsidRPr="0083726C">
              <w:t>., а до 01.04.2016 року не змінилась.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</w:pPr>
          </w:p>
          <w:p w:rsidR="00810577" w:rsidRPr="0083726C" w:rsidRDefault="00810577" w:rsidP="00810577">
            <w:pPr>
              <w:suppressAutoHyphens/>
              <w:ind w:firstLine="709"/>
              <w:jc w:val="both"/>
            </w:pPr>
            <w:r w:rsidRPr="0083726C">
              <w:t>Сума невиплаченої заробітної плати станом на 01.05.2016 року складає 1,4% фонду оплати праці за квітень</w:t>
            </w:r>
            <w:r w:rsidRPr="0083726C">
              <w:rPr>
                <w:lang w:val="ru-RU"/>
              </w:rPr>
              <w:t xml:space="preserve"> </w:t>
            </w:r>
            <w:r w:rsidRPr="0083726C">
              <w:t xml:space="preserve">2016 року. 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</w:pPr>
            <w:r w:rsidRPr="0083726C">
              <w:t xml:space="preserve">Станом на 01.05.2016 року не </w:t>
            </w:r>
            <w:proofErr w:type="spellStart"/>
            <w:r w:rsidRPr="0083726C">
              <w:t>виплачено</w:t>
            </w:r>
            <w:proofErr w:type="spellEnd"/>
            <w:r w:rsidRPr="0083726C">
              <w:t xml:space="preserve"> заробітну плату </w:t>
            </w:r>
            <w:r w:rsidRPr="0083726C">
              <w:rPr>
                <w:bCs/>
              </w:rPr>
              <w:t xml:space="preserve">1561 </w:t>
            </w:r>
            <w:r w:rsidRPr="0083726C">
              <w:t xml:space="preserve">працівникам економічно активних підприємств </w:t>
            </w:r>
            <w:r w:rsidRPr="0083726C">
              <w:rPr>
                <w:i/>
              </w:rPr>
              <w:t>(0,6% середньооблікової кількості штатних працівників області)</w:t>
            </w:r>
            <w:r w:rsidRPr="0083726C">
              <w:t>, що на 910 осіб, або у 2,4 рази більше ніж станом на 01.01.2016 р. (</w:t>
            </w:r>
            <w:r w:rsidRPr="0083726C">
              <w:rPr>
                <w:i/>
              </w:rPr>
              <w:t xml:space="preserve">кількість таких осіб складала </w:t>
            </w:r>
            <w:r w:rsidRPr="0083726C">
              <w:t xml:space="preserve">651). Сума боргу із виплати заробітної плати, яка припадає на одного працівника, в середньому складає </w:t>
            </w:r>
            <w:r w:rsidRPr="0083726C">
              <w:rPr>
                <w:bCs/>
              </w:rPr>
              <w:t>3435</w:t>
            </w:r>
            <w:r w:rsidRPr="0083726C">
              <w:t xml:space="preserve"> грн., що складає 89,5% середньої заробітної плати за квітень.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  <w:rPr>
                <w:u w:val="single"/>
              </w:rPr>
            </w:pPr>
          </w:p>
          <w:p w:rsidR="00810577" w:rsidRPr="0083726C" w:rsidRDefault="00810577" w:rsidP="00810577">
            <w:pPr>
              <w:suppressAutoHyphens/>
              <w:ind w:firstLine="709"/>
              <w:jc w:val="both"/>
              <w:rPr>
                <w:u w:val="single"/>
              </w:rPr>
            </w:pPr>
            <w:r w:rsidRPr="0083726C">
              <w:t>В розрізі основних видів економічної діяльності в структурі заборгованості із оплати праці області найбільшу питому вагу займають борги підприємств</w:t>
            </w:r>
            <w:r w:rsidRPr="0083726C">
              <w:rPr>
                <w:u w:val="single"/>
              </w:rPr>
              <w:t xml:space="preserve"> промисловості (56,2%), транспорт, складське господарство, поштова та кур’єрська діяльність (20,6%), у сфері професійної, наукової та технічної діяльності</w:t>
            </w:r>
            <w:r w:rsidRPr="0083726C">
              <w:rPr>
                <w:i/>
                <w:u w:val="single"/>
              </w:rPr>
              <w:t xml:space="preserve"> </w:t>
            </w:r>
            <w:r w:rsidRPr="0083726C">
              <w:rPr>
                <w:u w:val="single"/>
              </w:rPr>
              <w:t>(5,5%), будівництва (5,4%), у сфері адміністративного та допоміжного обслуговування (3,9%) , тощо.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</w:pPr>
            <w:r w:rsidRPr="0083726C">
              <w:t xml:space="preserve">На </w:t>
            </w:r>
            <w:r w:rsidRPr="0083726C">
              <w:rPr>
                <w:i/>
              </w:rPr>
              <w:t>промислових підприємствах</w:t>
            </w:r>
            <w:r w:rsidRPr="0083726C">
              <w:t xml:space="preserve"> області  заборгованість із заробітної плати станом на 01.05.2016 року склала 8239,5 </w:t>
            </w:r>
            <w:proofErr w:type="spellStart"/>
            <w:r w:rsidRPr="0083726C">
              <w:t>тис.грн</w:t>
            </w:r>
            <w:proofErr w:type="spellEnd"/>
            <w:r w:rsidRPr="0083726C">
              <w:t xml:space="preserve">. і в порівнянні з 01.01.2016 року зросла на 37,5% або на 2246,1 </w:t>
            </w:r>
            <w:proofErr w:type="spellStart"/>
            <w:r w:rsidRPr="0083726C">
              <w:t>тис.грн</w:t>
            </w:r>
            <w:proofErr w:type="spellEnd"/>
            <w:r w:rsidRPr="0083726C">
              <w:t xml:space="preserve">., в тому числі на економічно активних промислових підприємствах борг становить 1281 </w:t>
            </w:r>
            <w:proofErr w:type="spellStart"/>
            <w:r w:rsidRPr="0083726C">
              <w:t>тис.грн</w:t>
            </w:r>
            <w:proofErr w:type="spellEnd"/>
            <w:r w:rsidRPr="0083726C">
              <w:t>.</w:t>
            </w:r>
            <w:r w:rsidRPr="0083726C">
              <w:rPr>
                <w:i/>
              </w:rPr>
              <w:t xml:space="preserve"> (15,5% загальної суми боргу по галузі</w:t>
            </w:r>
            <w:r w:rsidRPr="0083726C">
              <w:t xml:space="preserve">) і до 01.01.2016 року зменшився на 1218,2 </w:t>
            </w:r>
            <w:proofErr w:type="spellStart"/>
            <w:r w:rsidRPr="0083726C">
              <w:t>тис.грн</w:t>
            </w:r>
            <w:proofErr w:type="spellEnd"/>
            <w:r w:rsidRPr="0083726C">
              <w:t>. або на 48,7%.</w:t>
            </w:r>
            <w:r w:rsidRPr="0083726C">
              <w:rPr>
                <w:i/>
              </w:rPr>
              <w:t xml:space="preserve"> </w:t>
            </w:r>
            <w:r w:rsidRPr="0083726C">
              <w:t xml:space="preserve">На промислових підприємствах-банкрутах станом на 01.05.2016 р. сума боргу з оплати праці становила 4660,2 </w:t>
            </w:r>
            <w:proofErr w:type="spellStart"/>
            <w:r w:rsidRPr="0083726C">
              <w:t>тис.грн</w:t>
            </w:r>
            <w:proofErr w:type="spellEnd"/>
            <w:r w:rsidRPr="0083726C">
              <w:t xml:space="preserve">. </w:t>
            </w:r>
            <w:r w:rsidRPr="0083726C">
              <w:rPr>
                <w:i/>
              </w:rPr>
              <w:t>(56,6% загальної суми боргу по галузі</w:t>
            </w:r>
            <w:r w:rsidRPr="0083726C">
              <w:t xml:space="preserve">) та проти 01.01.2016 р. зросла в 1,6 рази або на 1806,6 </w:t>
            </w:r>
            <w:proofErr w:type="spellStart"/>
            <w:r w:rsidRPr="0083726C">
              <w:t>тис.грн</w:t>
            </w:r>
            <w:proofErr w:type="spellEnd"/>
            <w:r w:rsidRPr="0083726C">
              <w:t>.</w:t>
            </w:r>
            <w:r w:rsidRPr="0083726C">
              <w:rPr>
                <w:i/>
              </w:rPr>
              <w:t xml:space="preserve"> 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</w:pPr>
            <w:r w:rsidRPr="0083726C">
              <w:t xml:space="preserve">На </w:t>
            </w:r>
            <w:r w:rsidRPr="0083726C">
              <w:rPr>
                <w:i/>
              </w:rPr>
              <w:t xml:space="preserve">  підприємствах</w:t>
            </w:r>
            <w:r w:rsidRPr="0083726C">
              <w:t xml:space="preserve"> </w:t>
            </w:r>
            <w:r w:rsidRPr="0083726C">
              <w:rPr>
                <w:i/>
              </w:rPr>
              <w:t>сільського господарства, лісового господарства та рибного господарства</w:t>
            </w:r>
            <w:r w:rsidRPr="0083726C">
              <w:t xml:space="preserve"> області  заборгованість із заробітної плати станом на 01.05.2016 року склала 25,9 </w:t>
            </w:r>
            <w:proofErr w:type="spellStart"/>
            <w:r w:rsidRPr="0083726C">
              <w:t>тис.грн</w:t>
            </w:r>
            <w:proofErr w:type="spellEnd"/>
            <w:r w:rsidRPr="0083726C">
              <w:t xml:space="preserve">. і в порівнянні з 01.01.2016 року не змінилась. На економічно активних підприємствах борги відсутні. Борги допущені лише на одному  сільськогосподарському підприємстві, яке перебуває у процедурі банкрутства.  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</w:pPr>
            <w:r w:rsidRPr="0083726C">
              <w:t xml:space="preserve">На підприємствах </w:t>
            </w:r>
            <w:r w:rsidRPr="0083726C">
              <w:rPr>
                <w:i/>
              </w:rPr>
              <w:t xml:space="preserve">транспорту, складського господарства </w:t>
            </w:r>
            <w:r w:rsidRPr="0083726C">
              <w:t xml:space="preserve">сума боргу склала 3019,6 </w:t>
            </w:r>
            <w:proofErr w:type="spellStart"/>
            <w:r w:rsidRPr="0083726C">
              <w:t>тис.грн</w:t>
            </w:r>
            <w:proofErr w:type="spellEnd"/>
            <w:r w:rsidRPr="0083726C">
              <w:t xml:space="preserve">. і зросла до початку року у 23,6 рази, або на 2891,7 </w:t>
            </w:r>
            <w:proofErr w:type="spellStart"/>
            <w:r w:rsidRPr="0083726C">
              <w:t>тис.грн</w:t>
            </w:r>
            <w:proofErr w:type="spellEnd"/>
            <w:r w:rsidRPr="0083726C">
              <w:t xml:space="preserve">. 94,6% зазначених боргів зосереджено на економічно активних підприємствах (2857,5 </w:t>
            </w:r>
            <w:proofErr w:type="spellStart"/>
            <w:r w:rsidRPr="0083726C">
              <w:t>тис.грн</w:t>
            </w:r>
            <w:proofErr w:type="spellEnd"/>
            <w:r w:rsidRPr="0083726C">
              <w:t>.).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</w:pPr>
            <w:r w:rsidRPr="0083726C">
              <w:rPr>
                <w:i/>
              </w:rPr>
              <w:t>У будівництві</w:t>
            </w:r>
            <w:r w:rsidRPr="0083726C">
              <w:t xml:space="preserve"> сума боргу скоротилась до рівня на початок 2016 року в 2 рази або на 795,1 </w:t>
            </w:r>
            <w:proofErr w:type="spellStart"/>
            <w:r w:rsidRPr="0083726C">
              <w:t>тис.грн</w:t>
            </w:r>
            <w:proofErr w:type="spellEnd"/>
            <w:r w:rsidRPr="0083726C">
              <w:t xml:space="preserve">. – всього заборговано 787,5 </w:t>
            </w:r>
            <w:proofErr w:type="spellStart"/>
            <w:r w:rsidRPr="0083726C">
              <w:t>тис.грн</w:t>
            </w:r>
            <w:proofErr w:type="spellEnd"/>
            <w:r w:rsidRPr="0083726C">
              <w:t>. заробітної плати. На економічно активних будівельних підприємствах борги із заробітної плати відсутні, увесь обсяг боргів належить підприємствам, які перебувають у процедурі банкрутства.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</w:pPr>
            <w:r w:rsidRPr="0083726C">
              <w:t xml:space="preserve">Значна сума боргів із заробітної плати на підприємствах та установах у сфері  </w:t>
            </w:r>
            <w:r w:rsidRPr="0083726C">
              <w:rPr>
                <w:b/>
                <w:i/>
              </w:rPr>
              <w:t>професійної, наукової та технічної діяльності</w:t>
            </w:r>
            <w:r w:rsidRPr="0083726C">
              <w:t xml:space="preserve"> – 800,4 </w:t>
            </w:r>
            <w:proofErr w:type="spellStart"/>
            <w:r w:rsidRPr="0083726C">
              <w:t>тис.грн</w:t>
            </w:r>
            <w:proofErr w:type="spellEnd"/>
            <w:r w:rsidRPr="0083726C">
              <w:t>.</w:t>
            </w:r>
            <w:r w:rsidRPr="0083726C">
              <w:rPr>
                <w:i/>
              </w:rPr>
              <w:t xml:space="preserve">, </w:t>
            </w:r>
            <w:r w:rsidRPr="0083726C">
              <w:t xml:space="preserve">протягом січня-квітня поточного року борг зменшився на 43,9%, або на 625,9 </w:t>
            </w:r>
            <w:proofErr w:type="spellStart"/>
            <w:r w:rsidRPr="0083726C">
              <w:t>тис.грн</w:t>
            </w:r>
            <w:proofErr w:type="spellEnd"/>
            <w:r w:rsidRPr="0083726C">
              <w:t>.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  <w:rPr>
                <w:lang w:val="ru-RU"/>
              </w:rPr>
            </w:pPr>
            <w:r w:rsidRPr="0083726C">
              <w:t>На підприємствах</w:t>
            </w:r>
            <w:r w:rsidRPr="0083726C">
              <w:rPr>
                <w:b/>
                <w:i/>
              </w:rPr>
              <w:t xml:space="preserve"> у сфері адміністративного та допоміжного обслуговування</w:t>
            </w:r>
            <w:r w:rsidRPr="0083726C">
              <w:rPr>
                <w:u w:val="single"/>
              </w:rPr>
              <w:t xml:space="preserve"> </w:t>
            </w:r>
            <w:r w:rsidRPr="0083726C">
              <w:t xml:space="preserve">протягом січня-квітня 2016 року борг зріс у 5,5 рази, або на 475,5 </w:t>
            </w:r>
            <w:proofErr w:type="spellStart"/>
            <w:r w:rsidRPr="0083726C">
              <w:t>тис.грн</w:t>
            </w:r>
            <w:proofErr w:type="spellEnd"/>
            <w:r w:rsidRPr="0083726C">
              <w:t>. і сума заборгованості на 01.05.2016 року становить 582,1 тис. грн.</w:t>
            </w:r>
            <w:r w:rsidRPr="0083726C">
              <w:rPr>
                <w:lang w:val="ru-RU"/>
              </w:rPr>
              <w:t xml:space="preserve"> 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</w:pPr>
            <w:r w:rsidRPr="0083726C">
              <w:t xml:space="preserve">Серед невиробничих галузей </w:t>
            </w:r>
            <w:proofErr w:type="spellStart"/>
            <w:r w:rsidRPr="0083726C">
              <w:rPr>
                <w:lang w:val="ru-RU"/>
              </w:rPr>
              <w:t>зменшились</w:t>
            </w:r>
            <w:proofErr w:type="spellEnd"/>
            <w:r w:rsidRPr="0083726C">
              <w:t xml:space="preserve"> за січень-квітень 2016 року борги із оплати праці на підприємствах </w:t>
            </w:r>
            <w:r w:rsidRPr="0083726C">
              <w:rPr>
                <w:b/>
                <w:i/>
              </w:rPr>
              <w:t xml:space="preserve">оптової та роздрібної торгівлі; ремонту автотранспортних засобів і мотоциклів </w:t>
            </w:r>
            <w:r w:rsidRPr="0083726C">
              <w:rPr>
                <w:i/>
              </w:rPr>
              <w:t>–</w:t>
            </w:r>
            <w:r w:rsidRPr="0083726C">
              <w:t xml:space="preserve"> до рівня на початок року на 28,6% або на 78,2 </w:t>
            </w:r>
            <w:proofErr w:type="spellStart"/>
            <w:r w:rsidRPr="0083726C">
              <w:t>тис.грн</w:t>
            </w:r>
            <w:proofErr w:type="spellEnd"/>
            <w:r w:rsidRPr="0083726C">
              <w:t xml:space="preserve">., сума боргу складає 195,4 </w:t>
            </w:r>
            <w:proofErr w:type="spellStart"/>
            <w:r w:rsidRPr="0083726C">
              <w:t>тис.грн</w:t>
            </w:r>
            <w:proofErr w:type="spellEnd"/>
            <w:r w:rsidRPr="0083726C">
              <w:t>.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  <w:rPr>
                <w:b/>
              </w:rPr>
            </w:pPr>
          </w:p>
          <w:p w:rsidR="00810577" w:rsidRPr="0083726C" w:rsidRDefault="00810577" w:rsidP="00810577">
            <w:pPr>
              <w:suppressAutoHyphens/>
              <w:ind w:firstLine="709"/>
              <w:jc w:val="both"/>
            </w:pPr>
            <w:r w:rsidRPr="0083726C">
              <w:t>В розрізі адміністративно-територіальних одиниць ситуація наступна: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</w:pPr>
            <w:r w:rsidRPr="0083726C">
              <w:t xml:space="preserve">Станом на звітну дату відсутня заборгованість із заробітної плати на підприємствах 9 районів: Гайсинському, </w:t>
            </w:r>
            <w:proofErr w:type="spellStart"/>
            <w:r w:rsidRPr="0083726C">
              <w:t>Літинському</w:t>
            </w:r>
            <w:proofErr w:type="spellEnd"/>
            <w:r w:rsidRPr="0083726C">
              <w:t xml:space="preserve">, Могилів-Подільському, </w:t>
            </w:r>
            <w:proofErr w:type="spellStart"/>
            <w:r w:rsidRPr="0083726C">
              <w:t>Оратівському</w:t>
            </w:r>
            <w:proofErr w:type="spellEnd"/>
            <w:r w:rsidRPr="0083726C">
              <w:t xml:space="preserve">, </w:t>
            </w:r>
            <w:proofErr w:type="spellStart"/>
            <w:r w:rsidRPr="0083726C">
              <w:t>Піщанському</w:t>
            </w:r>
            <w:proofErr w:type="spellEnd"/>
            <w:r w:rsidRPr="0083726C">
              <w:t xml:space="preserve">, </w:t>
            </w:r>
            <w:proofErr w:type="spellStart"/>
            <w:r w:rsidRPr="0083726C">
              <w:t>Тиврівському</w:t>
            </w:r>
            <w:proofErr w:type="spellEnd"/>
            <w:r w:rsidRPr="0083726C">
              <w:t>, Хмільницькому, Чернівецькому, Ямпільському.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</w:pPr>
            <w:r w:rsidRPr="0083726C">
              <w:t>Скоротили заборгованість із заробітної плати до 01.04.2016 року у 8 районах: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</w:pPr>
            <w:r w:rsidRPr="0083726C">
              <w:t>- Бершадському</w:t>
            </w:r>
            <w:r w:rsidRPr="0083726C">
              <w:rPr>
                <w:bCs/>
              </w:rPr>
              <w:t xml:space="preserve">– на 174,9 </w:t>
            </w:r>
            <w:proofErr w:type="spellStart"/>
            <w:r w:rsidRPr="0083726C">
              <w:rPr>
                <w:bCs/>
              </w:rPr>
              <w:t>тис.грн</w:t>
            </w:r>
            <w:proofErr w:type="spellEnd"/>
            <w:r w:rsidRPr="0083726C">
              <w:rPr>
                <w:bCs/>
              </w:rPr>
              <w:t xml:space="preserve">. або в 2,3 рази (залишок 135,2 </w:t>
            </w:r>
            <w:proofErr w:type="spellStart"/>
            <w:r w:rsidRPr="0083726C">
              <w:rPr>
                <w:bCs/>
              </w:rPr>
              <w:t>тис.грн</w:t>
            </w:r>
            <w:proofErr w:type="spellEnd"/>
            <w:r w:rsidRPr="0083726C">
              <w:rPr>
                <w:bCs/>
              </w:rPr>
              <w:t>.);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</w:pPr>
            <w:r w:rsidRPr="0083726C">
              <w:t>- Козятинському –</w:t>
            </w:r>
            <w:r w:rsidRPr="0083726C">
              <w:rPr>
                <w:bCs/>
              </w:rPr>
              <w:t xml:space="preserve"> на 11,4 </w:t>
            </w:r>
            <w:proofErr w:type="spellStart"/>
            <w:r w:rsidRPr="0083726C">
              <w:rPr>
                <w:bCs/>
              </w:rPr>
              <w:t>тис.грн</w:t>
            </w:r>
            <w:proofErr w:type="spellEnd"/>
            <w:r w:rsidRPr="0083726C">
              <w:rPr>
                <w:bCs/>
              </w:rPr>
              <w:t xml:space="preserve">. або на 7,9% (залишок 132,3 </w:t>
            </w:r>
            <w:proofErr w:type="spellStart"/>
            <w:r w:rsidRPr="0083726C">
              <w:rPr>
                <w:bCs/>
              </w:rPr>
              <w:t>тис.грн</w:t>
            </w:r>
            <w:proofErr w:type="spellEnd"/>
            <w:r w:rsidRPr="0083726C">
              <w:rPr>
                <w:bCs/>
              </w:rPr>
              <w:t>.);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</w:pPr>
            <w:r w:rsidRPr="0083726C">
              <w:t xml:space="preserve">- </w:t>
            </w:r>
            <w:proofErr w:type="spellStart"/>
            <w:r w:rsidRPr="0083726C">
              <w:t>Калинівському</w:t>
            </w:r>
            <w:proofErr w:type="spellEnd"/>
            <w:r w:rsidRPr="0083726C">
              <w:t xml:space="preserve"> –</w:t>
            </w:r>
            <w:r w:rsidRPr="0083726C">
              <w:rPr>
                <w:bCs/>
              </w:rPr>
              <w:t xml:space="preserve"> на 192,8 </w:t>
            </w:r>
            <w:proofErr w:type="spellStart"/>
            <w:r w:rsidRPr="0083726C">
              <w:rPr>
                <w:bCs/>
              </w:rPr>
              <w:t>тис.грн</w:t>
            </w:r>
            <w:proofErr w:type="spellEnd"/>
            <w:r w:rsidRPr="0083726C">
              <w:rPr>
                <w:bCs/>
              </w:rPr>
              <w:t xml:space="preserve">. або на18,3% (залишок 862,2 </w:t>
            </w:r>
            <w:proofErr w:type="spellStart"/>
            <w:r w:rsidRPr="0083726C">
              <w:rPr>
                <w:bCs/>
              </w:rPr>
              <w:t>тис.грн</w:t>
            </w:r>
            <w:proofErr w:type="spellEnd"/>
            <w:r w:rsidRPr="0083726C">
              <w:rPr>
                <w:bCs/>
              </w:rPr>
              <w:t>.);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</w:pPr>
            <w:r w:rsidRPr="0083726C">
              <w:t xml:space="preserve">- </w:t>
            </w:r>
            <w:proofErr w:type="spellStart"/>
            <w:r w:rsidRPr="0083726C">
              <w:t>Липовецькому</w:t>
            </w:r>
            <w:proofErr w:type="spellEnd"/>
            <w:r w:rsidRPr="0083726C">
              <w:t xml:space="preserve"> –</w:t>
            </w:r>
            <w:r w:rsidRPr="0083726C">
              <w:rPr>
                <w:bCs/>
              </w:rPr>
              <w:t xml:space="preserve"> на 172,9 </w:t>
            </w:r>
            <w:proofErr w:type="spellStart"/>
            <w:r w:rsidRPr="0083726C">
              <w:rPr>
                <w:bCs/>
              </w:rPr>
              <w:t>тис.грн</w:t>
            </w:r>
            <w:proofErr w:type="spellEnd"/>
            <w:r w:rsidRPr="0083726C">
              <w:rPr>
                <w:bCs/>
              </w:rPr>
              <w:t xml:space="preserve">. або на 18,6% (залишок 755 </w:t>
            </w:r>
            <w:proofErr w:type="spellStart"/>
            <w:r w:rsidRPr="0083726C">
              <w:rPr>
                <w:bCs/>
              </w:rPr>
              <w:t>тис.грн</w:t>
            </w:r>
            <w:proofErr w:type="spellEnd"/>
            <w:r w:rsidRPr="0083726C">
              <w:rPr>
                <w:bCs/>
              </w:rPr>
              <w:t>.);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</w:pPr>
            <w:r w:rsidRPr="0083726C">
              <w:t xml:space="preserve">- </w:t>
            </w:r>
            <w:proofErr w:type="spellStart"/>
            <w:r w:rsidRPr="0083726C">
              <w:t>Мурованокуриловецькому</w:t>
            </w:r>
            <w:proofErr w:type="spellEnd"/>
            <w:r w:rsidRPr="0083726C">
              <w:t xml:space="preserve"> –</w:t>
            </w:r>
            <w:r w:rsidRPr="0083726C">
              <w:rPr>
                <w:bCs/>
              </w:rPr>
              <w:t xml:space="preserve"> на 20,8 </w:t>
            </w:r>
            <w:proofErr w:type="spellStart"/>
            <w:r w:rsidRPr="0083726C">
              <w:rPr>
                <w:bCs/>
              </w:rPr>
              <w:t>тис.грн</w:t>
            </w:r>
            <w:proofErr w:type="spellEnd"/>
            <w:r w:rsidRPr="0083726C">
              <w:rPr>
                <w:bCs/>
              </w:rPr>
              <w:t xml:space="preserve">. або на 5,4% (залишок 361,4 </w:t>
            </w:r>
            <w:proofErr w:type="spellStart"/>
            <w:r w:rsidRPr="0083726C">
              <w:rPr>
                <w:bCs/>
              </w:rPr>
              <w:t>тис.грн</w:t>
            </w:r>
            <w:proofErr w:type="spellEnd"/>
            <w:r w:rsidRPr="0083726C">
              <w:rPr>
                <w:bCs/>
              </w:rPr>
              <w:t>.);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</w:pPr>
            <w:r w:rsidRPr="0083726C">
              <w:t xml:space="preserve">- </w:t>
            </w:r>
            <w:proofErr w:type="spellStart"/>
            <w:r w:rsidRPr="0083726C">
              <w:t>Погребищенському</w:t>
            </w:r>
            <w:proofErr w:type="spellEnd"/>
            <w:r w:rsidRPr="0083726C">
              <w:t xml:space="preserve"> –</w:t>
            </w:r>
            <w:r w:rsidRPr="0083726C">
              <w:rPr>
                <w:bCs/>
              </w:rPr>
              <w:t xml:space="preserve"> на 164,5 </w:t>
            </w:r>
            <w:proofErr w:type="spellStart"/>
            <w:r w:rsidRPr="0083726C">
              <w:rPr>
                <w:bCs/>
              </w:rPr>
              <w:t>тис.грн</w:t>
            </w:r>
            <w:proofErr w:type="spellEnd"/>
            <w:r w:rsidRPr="0083726C">
              <w:rPr>
                <w:bCs/>
              </w:rPr>
              <w:t xml:space="preserve">. або в 2,3 рази (залишок 128 </w:t>
            </w:r>
            <w:proofErr w:type="spellStart"/>
            <w:r w:rsidRPr="0083726C">
              <w:rPr>
                <w:bCs/>
              </w:rPr>
              <w:t>тис.грн</w:t>
            </w:r>
            <w:proofErr w:type="spellEnd"/>
            <w:r w:rsidRPr="0083726C">
              <w:rPr>
                <w:bCs/>
              </w:rPr>
              <w:t>.);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</w:pPr>
            <w:r w:rsidRPr="0083726C">
              <w:t xml:space="preserve">- </w:t>
            </w:r>
            <w:proofErr w:type="spellStart"/>
            <w:r w:rsidRPr="0083726C">
              <w:t>Томашпільському</w:t>
            </w:r>
            <w:proofErr w:type="spellEnd"/>
            <w:r w:rsidRPr="0083726C">
              <w:t xml:space="preserve"> –</w:t>
            </w:r>
            <w:r w:rsidRPr="0083726C">
              <w:rPr>
                <w:bCs/>
              </w:rPr>
              <w:t xml:space="preserve"> на 277,9 </w:t>
            </w:r>
            <w:proofErr w:type="spellStart"/>
            <w:r w:rsidRPr="0083726C">
              <w:rPr>
                <w:bCs/>
              </w:rPr>
              <w:t>тис.грн</w:t>
            </w:r>
            <w:proofErr w:type="spellEnd"/>
            <w:r w:rsidRPr="0083726C">
              <w:rPr>
                <w:bCs/>
              </w:rPr>
              <w:t xml:space="preserve">. або в 2,5 рази (залишок 187,5 </w:t>
            </w:r>
            <w:proofErr w:type="spellStart"/>
            <w:r w:rsidRPr="0083726C">
              <w:rPr>
                <w:bCs/>
              </w:rPr>
              <w:t>тис.грн</w:t>
            </w:r>
            <w:proofErr w:type="spellEnd"/>
            <w:r w:rsidRPr="0083726C">
              <w:rPr>
                <w:bCs/>
              </w:rPr>
              <w:t>.);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</w:pPr>
            <w:r w:rsidRPr="0083726C">
              <w:t>-Тульчинському –</w:t>
            </w:r>
            <w:r w:rsidRPr="0083726C">
              <w:rPr>
                <w:bCs/>
              </w:rPr>
              <w:t xml:space="preserve"> на 5,2 </w:t>
            </w:r>
            <w:proofErr w:type="spellStart"/>
            <w:r w:rsidRPr="0083726C">
              <w:rPr>
                <w:bCs/>
              </w:rPr>
              <w:t>тис.грн</w:t>
            </w:r>
            <w:proofErr w:type="spellEnd"/>
            <w:r w:rsidRPr="0083726C">
              <w:rPr>
                <w:bCs/>
              </w:rPr>
              <w:t xml:space="preserve">. або 0,8% (залишок 685,4 </w:t>
            </w:r>
            <w:proofErr w:type="spellStart"/>
            <w:r w:rsidRPr="0083726C">
              <w:rPr>
                <w:bCs/>
              </w:rPr>
              <w:t>тис.грн</w:t>
            </w:r>
            <w:proofErr w:type="spellEnd"/>
            <w:r w:rsidRPr="0083726C">
              <w:rPr>
                <w:bCs/>
              </w:rPr>
              <w:t>.);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  <w:rPr>
                <w:bCs/>
                <w:lang w:val="ru-RU"/>
              </w:rPr>
            </w:pPr>
            <w:r w:rsidRPr="0083726C">
              <w:t xml:space="preserve">та </w:t>
            </w:r>
            <w:proofErr w:type="spellStart"/>
            <w:r w:rsidRPr="0083726C">
              <w:rPr>
                <w:bCs/>
                <w:lang w:val="ru-RU"/>
              </w:rPr>
              <w:t>містах</w:t>
            </w:r>
            <w:proofErr w:type="spellEnd"/>
            <w:r w:rsidRPr="0083726C">
              <w:rPr>
                <w:bCs/>
                <w:lang w:val="ru-RU"/>
              </w:rPr>
              <w:t xml:space="preserve"> </w:t>
            </w:r>
            <w:proofErr w:type="spellStart"/>
            <w:r w:rsidRPr="0083726C">
              <w:rPr>
                <w:bCs/>
                <w:lang w:val="ru-RU"/>
              </w:rPr>
              <w:t>Вінниця</w:t>
            </w:r>
            <w:proofErr w:type="spellEnd"/>
            <w:r w:rsidRPr="0083726C">
              <w:rPr>
                <w:bCs/>
                <w:lang w:val="ru-RU"/>
              </w:rPr>
              <w:t xml:space="preserve"> –</w:t>
            </w:r>
            <w:r w:rsidRPr="0083726C">
              <w:rPr>
                <w:bCs/>
              </w:rPr>
              <w:t xml:space="preserve"> на </w:t>
            </w:r>
            <w:r w:rsidRPr="0083726C">
              <w:rPr>
                <w:bCs/>
                <w:lang w:val="ru-RU"/>
              </w:rPr>
              <w:t>284,5</w:t>
            </w:r>
            <w:r w:rsidRPr="0083726C">
              <w:rPr>
                <w:bCs/>
              </w:rPr>
              <w:t xml:space="preserve"> </w:t>
            </w:r>
            <w:proofErr w:type="spellStart"/>
            <w:r w:rsidRPr="0083726C">
              <w:rPr>
                <w:bCs/>
              </w:rPr>
              <w:t>тис.грн</w:t>
            </w:r>
            <w:proofErr w:type="spellEnd"/>
            <w:r w:rsidRPr="0083726C">
              <w:rPr>
                <w:bCs/>
              </w:rPr>
              <w:t xml:space="preserve">. або на 5,8% (залишок 4624,2 </w:t>
            </w:r>
            <w:proofErr w:type="spellStart"/>
            <w:r w:rsidRPr="0083726C">
              <w:rPr>
                <w:bCs/>
              </w:rPr>
              <w:t>тис.грн</w:t>
            </w:r>
            <w:proofErr w:type="spellEnd"/>
            <w:r w:rsidRPr="0083726C">
              <w:rPr>
                <w:bCs/>
              </w:rPr>
              <w:t xml:space="preserve">.) та Жмеринка </w:t>
            </w:r>
            <w:r w:rsidRPr="0083726C">
              <w:rPr>
                <w:bCs/>
                <w:lang w:val="ru-RU"/>
              </w:rPr>
              <w:t>–</w:t>
            </w:r>
            <w:r w:rsidRPr="0083726C">
              <w:rPr>
                <w:bCs/>
              </w:rPr>
              <w:t xml:space="preserve"> на </w:t>
            </w:r>
            <w:r w:rsidRPr="0083726C">
              <w:rPr>
                <w:bCs/>
                <w:lang w:val="ru-RU"/>
              </w:rPr>
              <w:t>142,3</w:t>
            </w:r>
            <w:r w:rsidRPr="0083726C">
              <w:rPr>
                <w:bCs/>
              </w:rPr>
              <w:t xml:space="preserve"> </w:t>
            </w:r>
            <w:proofErr w:type="spellStart"/>
            <w:r w:rsidRPr="0083726C">
              <w:rPr>
                <w:bCs/>
              </w:rPr>
              <w:t>тис.грн</w:t>
            </w:r>
            <w:proofErr w:type="spellEnd"/>
            <w:r w:rsidRPr="0083726C">
              <w:rPr>
                <w:bCs/>
              </w:rPr>
              <w:t xml:space="preserve">. або на 30% (залишок 332,5 </w:t>
            </w:r>
            <w:proofErr w:type="spellStart"/>
            <w:r w:rsidRPr="0083726C">
              <w:rPr>
                <w:bCs/>
              </w:rPr>
              <w:t>тис.грн</w:t>
            </w:r>
            <w:proofErr w:type="spellEnd"/>
            <w:r w:rsidRPr="0083726C">
              <w:rPr>
                <w:bCs/>
              </w:rPr>
              <w:t>.)</w:t>
            </w:r>
            <w:r w:rsidRPr="0083726C">
              <w:rPr>
                <w:bCs/>
                <w:lang w:val="ru-RU"/>
              </w:rPr>
              <w:t>.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</w:pPr>
            <w:r w:rsidRPr="0083726C">
              <w:rPr>
                <w:b/>
              </w:rPr>
              <w:t>Найбільше наростили борги із заробітної плати протягом квітня 2016 року</w:t>
            </w:r>
            <w:r w:rsidRPr="0083726C">
              <w:t xml:space="preserve"> на підприємствах та установах </w:t>
            </w:r>
            <w:proofErr w:type="spellStart"/>
            <w:r w:rsidRPr="0083726C">
              <w:t>Немирівського</w:t>
            </w:r>
            <w:proofErr w:type="spellEnd"/>
            <w:r w:rsidRPr="0083726C">
              <w:t xml:space="preserve"> району – на 34,7% або на 184,5 </w:t>
            </w:r>
            <w:proofErr w:type="spellStart"/>
            <w:r w:rsidRPr="0083726C">
              <w:t>тис.грн</w:t>
            </w:r>
            <w:proofErr w:type="spellEnd"/>
            <w:r w:rsidRPr="0083726C">
              <w:t xml:space="preserve">. (борг становить 716,1 </w:t>
            </w:r>
            <w:proofErr w:type="spellStart"/>
            <w:r w:rsidRPr="0083726C">
              <w:t>тис.грн</w:t>
            </w:r>
            <w:proofErr w:type="spellEnd"/>
            <w:r w:rsidRPr="0083726C">
              <w:t xml:space="preserve">.), </w:t>
            </w:r>
            <w:proofErr w:type="spellStart"/>
            <w:r w:rsidRPr="0083726C">
              <w:t>Теплицького</w:t>
            </w:r>
            <w:proofErr w:type="spellEnd"/>
            <w:r w:rsidRPr="0083726C">
              <w:t xml:space="preserve"> району – на 24,8% або на 164,8 </w:t>
            </w:r>
            <w:proofErr w:type="spellStart"/>
            <w:r w:rsidRPr="0083726C">
              <w:t>тис.грн</w:t>
            </w:r>
            <w:proofErr w:type="spellEnd"/>
            <w:r w:rsidRPr="0083726C">
              <w:t xml:space="preserve">. (сума боргу складає 828,8 </w:t>
            </w:r>
            <w:proofErr w:type="spellStart"/>
            <w:r w:rsidRPr="0083726C">
              <w:t>тис.грн</w:t>
            </w:r>
            <w:proofErr w:type="spellEnd"/>
            <w:r w:rsidRPr="0083726C">
              <w:t xml:space="preserve">.) та Тростянецького району – на 22% або на 126,8 </w:t>
            </w:r>
            <w:proofErr w:type="spellStart"/>
            <w:r w:rsidRPr="0083726C">
              <w:t>тис.грн</w:t>
            </w:r>
            <w:proofErr w:type="spellEnd"/>
            <w:r w:rsidRPr="0083726C">
              <w:t xml:space="preserve">. (сума боргу складає 702,9 </w:t>
            </w:r>
            <w:proofErr w:type="spellStart"/>
            <w:r w:rsidRPr="0083726C">
              <w:t>тис.грн</w:t>
            </w:r>
            <w:proofErr w:type="spellEnd"/>
            <w:r w:rsidRPr="0083726C">
              <w:t>.).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</w:pPr>
            <w:r w:rsidRPr="0083726C">
              <w:rPr>
                <w:b/>
              </w:rPr>
              <w:t xml:space="preserve">Водночас серед міст обласного значення </w:t>
            </w:r>
            <w:r w:rsidRPr="0083726C">
              <w:t xml:space="preserve">протягом березня 2016 року </w:t>
            </w:r>
            <w:r w:rsidRPr="0083726C">
              <w:rPr>
                <w:b/>
              </w:rPr>
              <w:t>наростило</w:t>
            </w:r>
            <w:r w:rsidRPr="0083726C">
              <w:t xml:space="preserve"> борги перед працівниками підприємств, організацій та установ </w:t>
            </w:r>
            <w:proofErr w:type="spellStart"/>
            <w:r w:rsidRPr="0083726C">
              <w:t>м.Козятин</w:t>
            </w:r>
            <w:proofErr w:type="spellEnd"/>
            <w:r w:rsidRPr="0083726C">
              <w:t xml:space="preserve"> - на 52,6 </w:t>
            </w:r>
            <w:proofErr w:type="spellStart"/>
            <w:r w:rsidRPr="0083726C">
              <w:t>тис.грн</w:t>
            </w:r>
            <w:proofErr w:type="spellEnd"/>
            <w:r w:rsidRPr="0083726C">
              <w:t xml:space="preserve">., або на 19,3% (борг становить 324,8 </w:t>
            </w:r>
            <w:proofErr w:type="spellStart"/>
            <w:r w:rsidRPr="0083726C">
              <w:t>тис.грн</w:t>
            </w:r>
            <w:proofErr w:type="spellEnd"/>
            <w:r w:rsidRPr="0083726C">
              <w:t>.).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</w:pPr>
            <w:r w:rsidRPr="0083726C">
              <w:rPr>
                <w:b/>
              </w:rPr>
              <w:t>Не змінилась сума заборгованості</w:t>
            </w:r>
            <w:r w:rsidRPr="0083726C">
              <w:t xml:space="preserve"> протягом березня 2016 року у Жмеринському районі (520,5 </w:t>
            </w:r>
            <w:proofErr w:type="spellStart"/>
            <w:r w:rsidRPr="0083726C">
              <w:t>тис.грн</w:t>
            </w:r>
            <w:proofErr w:type="spellEnd"/>
            <w:r w:rsidRPr="0083726C">
              <w:t xml:space="preserve">.), </w:t>
            </w:r>
            <w:proofErr w:type="spellStart"/>
            <w:r w:rsidRPr="0083726C">
              <w:t>Шаргородському</w:t>
            </w:r>
            <w:proofErr w:type="spellEnd"/>
            <w:r w:rsidRPr="0083726C">
              <w:t xml:space="preserve"> районі (140 </w:t>
            </w:r>
            <w:proofErr w:type="spellStart"/>
            <w:r w:rsidRPr="0083726C">
              <w:t>тис.грн</w:t>
            </w:r>
            <w:proofErr w:type="spellEnd"/>
            <w:r w:rsidRPr="0083726C">
              <w:t xml:space="preserve">.) та у </w:t>
            </w:r>
            <w:proofErr w:type="spellStart"/>
            <w:r w:rsidRPr="0083726C">
              <w:t>м.Могилів</w:t>
            </w:r>
            <w:proofErr w:type="spellEnd"/>
            <w:r w:rsidRPr="0083726C">
              <w:t xml:space="preserve">-Подільський (92,2 </w:t>
            </w:r>
            <w:proofErr w:type="spellStart"/>
            <w:r w:rsidRPr="0083726C">
              <w:t>тис.грн</w:t>
            </w:r>
            <w:proofErr w:type="spellEnd"/>
            <w:r w:rsidRPr="0083726C">
              <w:t xml:space="preserve">.) і </w:t>
            </w:r>
            <w:proofErr w:type="spellStart"/>
            <w:r w:rsidRPr="0083726C">
              <w:t>м.Ладижин</w:t>
            </w:r>
            <w:proofErr w:type="spellEnd"/>
            <w:r w:rsidRPr="0083726C">
              <w:t xml:space="preserve"> (2158,3 </w:t>
            </w:r>
            <w:proofErr w:type="spellStart"/>
            <w:r w:rsidRPr="0083726C">
              <w:t>тис.грн</w:t>
            </w:r>
            <w:proofErr w:type="spellEnd"/>
            <w:r w:rsidRPr="0083726C">
              <w:t>.).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</w:pPr>
            <w:r w:rsidRPr="0083726C">
              <w:rPr>
                <w:b/>
              </w:rPr>
              <w:t>Найбільші суми боргу</w:t>
            </w:r>
            <w:r w:rsidRPr="0083726C">
              <w:t xml:space="preserve"> із заробітної плати станом на 01.05.2016 року серед районів: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  <w:rPr>
                <w:i/>
              </w:rPr>
            </w:pPr>
            <w:r w:rsidRPr="0083726C">
              <w:t xml:space="preserve">- у </w:t>
            </w:r>
            <w:proofErr w:type="spellStart"/>
            <w:r w:rsidRPr="0083726C">
              <w:t>Калинівському</w:t>
            </w:r>
            <w:proofErr w:type="spellEnd"/>
            <w:r w:rsidRPr="0083726C">
              <w:t xml:space="preserve"> – 862,2 </w:t>
            </w:r>
            <w:proofErr w:type="spellStart"/>
            <w:r w:rsidRPr="0083726C">
              <w:t>тис.грн</w:t>
            </w:r>
            <w:proofErr w:type="spellEnd"/>
            <w:r w:rsidRPr="0083726C">
              <w:rPr>
                <w:i/>
              </w:rPr>
              <w:t xml:space="preserve">. (протягом квітня сума заборгованості із заробітної плати скоротилась на 18,3% або на 192,8 </w:t>
            </w:r>
            <w:proofErr w:type="spellStart"/>
            <w:r w:rsidRPr="0083726C">
              <w:rPr>
                <w:i/>
              </w:rPr>
              <w:t>тис.грн</w:t>
            </w:r>
            <w:proofErr w:type="spellEnd"/>
            <w:r w:rsidRPr="0083726C">
              <w:rPr>
                <w:i/>
              </w:rPr>
              <w:t>.);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</w:pPr>
            <w:r w:rsidRPr="0083726C">
              <w:t xml:space="preserve">- у </w:t>
            </w:r>
            <w:proofErr w:type="spellStart"/>
            <w:r w:rsidRPr="0083726C">
              <w:t>Теплицькому</w:t>
            </w:r>
            <w:proofErr w:type="spellEnd"/>
            <w:r w:rsidRPr="0083726C">
              <w:t xml:space="preserve"> – 828,8 </w:t>
            </w:r>
            <w:proofErr w:type="spellStart"/>
            <w:r w:rsidRPr="0083726C">
              <w:t>тис.грн</w:t>
            </w:r>
            <w:proofErr w:type="spellEnd"/>
            <w:r w:rsidRPr="0083726C">
              <w:rPr>
                <w:i/>
              </w:rPr>
              <w:t xml:space="preserve">. (протягом квітня сума заборгованості із заробітної плати зросла на 24,8% або на 164,8 </w:t>
            </w:r>
            <w:proofErr w:type="spellStart"/>
            <w:r w:rsidRPr="0083726C">
              <w:rPr>
                <w:i/>
              </w:rPr>
              <w:t>тис.грн</w:t>
            </w:r>
            <w:proofErr w:type="spellEnd"/>
            <w:r w:rsidRPr="0083726C">
              <w:rPr>
                <w:i/>
              </w:rPr>
              <w:t>.);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  <w:rPr>
                <w:i/>
              </w:rPr>
            </w:pPr>
            <w:r w:rsidRPr="0083726C">
              <w:t xml:space="preserve">- у </w:t>
            </w:r>
            <w:proofErr w:type="spellStart"/>
            <w:r w:rsidRPr="0083726C">
              <w:t>Липовецькому</w:t>
            </w:r>
            <w:proofErr w:type="spellEnd"/>
            <w:r w:rsidRPr="0083726C">
              <w:t xml:space="preserve"> – 755 </w:t>
            </w:r>
            <w:proofErr w:type="spellStart"/>
            <w:r w:rsidRPr="0083726C">
              <w:t>тис.грн</w:t>
            </w:r>
            <w:proofErr w:type="spellEnd"/>
            <w:r w:rsidRPr="0083726C">
              <w:t xml:space="preserve">. </w:t>
            </w:r>
            <w:r w:rsidRPr="0083726C">
              <w:rPr>
                <w:i/>
              </w:rPr>
              <w:t xml:space="preserve">(протягом квітня сума заборгованості із заробітної плати зменшилась на 18,6%  або на 172,9 </w:t>
            </w:r>
            <w:proofErr w:type="spellStart"/>
            <w:r w:rsidRPr="0083726C">
              <w:rPr>
                <w:i/>
              </w:rPr>
              <w:t>тис.грн</w:t>
            </w:r>
            <w:proofErr w:type="spellEnd"/>
            <w:r w:rsidRPr="0083726C">
              <w:rPr>
                <w:i/>
              </w:rPr>
              <w:t>.);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</w:pPr>
            <w:r w:rsidRPr="0083726C">
              <w:t xml:space="preserve">- у </w:t>
            </w:r>
            <w:proofErr w:type="spellStart"/>
            <w:r w:rsidRPr="0083726C">
              <w:t>Немирівському</w:t>
            </w:r>
            <w:proofErr w:type="spellEnd"/>
            <w:r w:rsidRPr="0083726C">
              <w:t xml:space="preserve"> – 716,1 </w:t>
            </w:r>
            <w:proofErr w:type="spellStart"/>
            <w:r w:rsidRPr="0083726C">
              <w:t>тис.грн</w:t>
            </w:r>
            <w:proofErr w:type="spellEnd"/>
            <w:r w:rsidRPr="0083726C">
              <w:t>. (</w:t>
            </w:r>
            <w:r w:rsidRPr="0083726C">
              <w:rPr>
                <w:i/>
              </w:rPr>
              <w:t xml:space="preserve">протягом квітня сума заборгованості із заробітної плати зросла на 34,7%  або на 184,5 </w:t>
            </w:r>
            <w:proofErr w:type="spellStart"/>
            <w:r w:rsidRPr="0083726C">
              <w:rPr>
                <w:i/>
              </w:rPr>
              <w:t>тис.грн</w:t>
            </w:r>
            <w:proofErr w:type="spellEnd"/>
            <w:r w:rsidRPr="0083726C">
              <w:rPr>
                <w:i/>
              </w:rPr>
              <w:t>.</w:t>
            </w:r>
            <w:r w:rsidRPr="0083726C">
              <w:t>);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  <w:rPr>
                <w:i/>
              </w:rPr>
            </w:pPr>
            <w:r w:rsidRPr="0083726C">
              <w:t xml:space="preserve">- у Тростянецькому – 702,9 </w:t>
            </w:r>
            <w:proofErr w:type="spellStart"/>
            <w:r w:rsidRPr="0083726C">
              <w:t>тис.грн</w:t>
            </w:r>
            <w:proofErr w:type="spellEnd"/>
            <w:r w:rsidRPr="0083726C">
              <w:t xml:space="preserve">. </w:t>
            </w:r>
            <w:r w:rsidRPr="0083726C">
              <w:rPr>
                <w:i/>
              </w:rPr>
              <w:t>(протягом квітня заборгованість зросла на 22% або на 126,8 тис. грн.).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</w:pPr>
            <w:r w:rsidRPr="0083726C">
              <w:t xml:space="preserve">Серед міст обласного значення – у </w:t>
            </w:r>
            <w:proofErr w:type="spellStart"/>
            <w:r w:rsidRPr="0083726C">
              <w:t>м.Вінниця</w:t>
            </w:r>
            <w:proofErr w:type="spellEnd"/>
            <w:r w:rsidRPr="0083726C">
              <w:t xml:space="preserve"> борг складає 4624,2 </w:t>
            </w:r>
            <w:proofErr w:type="spellStart"/>
            <w:r w:rsidRPr="0083726C">
              <w:t>тис.грн</w:t>
            </w:r>
            <w:proofErr w:type="spellEnd"/>
            <w:r w:rsidRPr="0083726C">
              <w:t>. (</w:t>
            </w:r>
            <w:r w:rsidRPr="0083726C">
              <w:rPr>
                <w:i/>
              </w:rPr>
              <w:t xml:space="preserve">протягом квітня заборгованість зменшилась на 284,5 </w:t>
            </w:r>
            <w:proofErr w:type="spellStart"/>
            <w:r w:rsidRPr="0083726C">
              <w:rPr>
                <w:i/>
              </w:rPr>
              <w:t>тис.грн</w:t>
            </w:r>
            <w:proofErr w:type="spellEnd"/>
            <w:r w:rsidRPr="0083726C">
              <w:rPr>
                <w:i/>
              </w:rPr>
              <w:t xml:space="preserve">, або на 5,8%, її питома вага у загальній сумі боргу в цілому по області складає </w:t>
            </w:r>
            <w:r w:rsidRPr="0083726C">
              <w:t xml:space="preserve">31,5%) та у </w:t>
            </w:r>
            <w:proofErr w:type="spellStart"/>
            <w:r w:rsidRPr="0083726C">
              <w:t>м.Ладижин</w:t>
            </w:r>
            <w:proofErr w:type="spellEnd"/>
            <w:r w:rsidRPr="0083726C">
              <w:t xml:space="preserve"> — 2158,3 </w:t>
            </w:r>
            <w:proofErr w:type="spellStart"/>
            <w:r w:rsidRPr="0083726C">
              <w:t>тис.грн</w:t>
            </w:r>
            <w:proofErr w:type="spellEnd"/>
            <w:r w:rsidRPr="0083726C">
              <w:t>. (</w:t>
            </w:r>
            <w:r w:rsidRPr="0083726C">
              <w:rPr>
                <w:i/>
              </w:rPr>
              <w:t>протягом квітня заборгованість не змінилась, питома вага 14,7</w:t>
            </w:r>
            <w:r w:rsidRPr="0083726C">
              <w:t>%).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</w:pPr>
          </w:p>
          <w:p w:rsidR="00810577" w:rsidRPr="0083726C" w:rsidRDefault="00810577" w:rsidP="00810577">
            <w:pPr>
              <w:suppressAutoHyphens/>
              <w:ind w:firstLine="709"/>
              <w:jc w:val="both"/>
            </w:pPr>
            <w:r w:rsidRPr="0083726C">
              <w:t xml:space="preserve">Станом на 1 </w:t>
            </w:r>
            <w:r w:rsidR="0083726C" w:rsidRPr="0083726C">
              <w:t>травня</w:t>
            </w:r>
            <w:r w:rsidRPr="0083726C">
              <w:t xml:space="preserve"> 2016 року відсутні борги на економічно активних підприємствах 16 районів, у м. Могилів-Подільському, м. Хмільник та </w:t>
            </w:r>
            <w:proofErr w:type="spellStart"/>
            <w:r w:rsidRPr="0083726C">
              <w:t>м.Ладижин</w:t>
            </w:r>
            <w:proofErr w:type="spellEnd"/>
            <w:r w:rsidRPr="0083726C">
              <w:t xml:space="preserve">.    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</w:pPr>
            <w:r w:rsidRPr="0083726C">
              <w:t xml:space="preserve">Всього станом 01.04.2016 року борг на економічно активних підприємствах є у 11 районах та 3 містах обласного значення, а саме у Бершадському, Вінницькому, </w:t>
            </w:r>
            <w:proofErr w:type="spellStart"/>
            <w:r w:rsidRPr="0083726C">
              <w:t>Іллінецькому</w:t>
            </w:r>
            <w:proofErr w:type="spellEnd"/>
            <w:r w:rsidRPr="0083726C">
              <w:t xml:space="preserve">, Козятинському, </w:t>
            </w:r>
            <w:proofErr w:type="spellStart"/>
            <w:r w:rsidRPr="0083726C">
              <w:t>Калинівському</w:t>
            </w:r>
            <w:proofErr w:type="spellEnd"/>
            <w:r w:rsidRPr="0083726C">
              <w:t xml:space="preserve">, </w:t>
            </w:r>
            <w:proofErr w:type="spellStart"/>
            <w:r w:rsidRPr="0083726C">
              <w:t>Липовецькому</w:t>
            </w:r>
            <w:proofErr w:type="spellEnd"/>
            <w:r w:rsidRPr="0083726C">
              <w:t xml:space="preserve">, </w:t>
            </w:r>
            <w:proofErr w:type="spellStart"/>
            <w:r w:rsidRPr="0083726C">
              <w:t>Мурованокуриловецькому</w:t>
            </w:r>
            <w:proofErr w:type="spellEnd"/>
            <w:r w:rsidRPr="0083726C">
              <w:t xml:space="preserve">, </w:t>
            </w:r>
            <w:proofErr w:type="spellStart"/>
            <w:r w:rsidRPr="0083726C">
              <w:t>Немирівському</w:t>
            </w:r>
            <w:proofErr w:type="spellEnd"/>
            <w:r w:rsidRPr="0083726C">
              <w:t xml:space="preserve">, </w:t>
            </w:r>
            <w:proofErr w:type="spellStart"/>
            <w:r w:rsidRPr="0083726C">
              <w:t>Погребищенському</w:t>
            </w:r>
            <w:proofErr w:type="spellEnd"/>
            <w:r w:rsidRPr="0083726C">
              <w:t xml:space="preserve">, </w:t>
            </w:r>
            <w:proofErr w:type="spellStart"/>
            <w:r w:rsidRPr="0083726C">
              <w:t>Томашпільському</w:t>
            </w:r>
            <w:proofErr w:type="spellEnd"/>
            <w:r w:rsidRPr="0083726C">
              <w:t xml:space="preserve"> та Тульчинському районах, а також 3 містах обласного значення (м. Вінниця, </w:t>
            </w:r>
            <w:proofErr w:type="spellStart"/>
            <w:r w:rsidRPr="0083726C">
              <w:lastRenderedPageBreak/>
              <w:t>м.Жмеринка</w:t>
            </w:r>
            <w:proofErr w:type="spellEnd"/>
            <w:r w:rsidRPr="0083726C">
              <w:t xml:space="preserve"> та </w:t>
            </w:r>
            <w:proofErr w:type="spellStart"/>
            <w:r w:rsidRPr="0083726C">
              <w:t>м.Козятин</w:t>
            </w:r>
            <w:proofErr w:type="spellEnd"/>
            <w:r w:rsidRPr="0083726C">
              <w:t xml:space="preserve">).  </w:t>
            </w:r>
          </w:p>
          <w:p w:rsidR="00810577" w:rsidRPr="0083726C" w:rsidRDefault="00810577" w:rsidP="00810577">
            <w:pPr>
              <w:suppressAutoHyphens/>
              <w:ind w:firstLine="709"/>
              <w:jc w:val="both"/>
            </w:pPr>
            <w:r w:rsidRPr="0083726C">
              <w:t xml:space="preserve">Заборгованість із заробітної плати </w:t>
            </w:r>
            <w:r w:rsidRPr="0083726C">
              <w:rPr>
                <w:u w:val="single"/>
              </w:rPr>
              <w:t>працівникам сільського господарства станом на 01.05.2016 р.</w:t>
            </w:r>
            <w:r w:rsidRPr="0083726C">
              <w:t xml:space="preserve"> залишається непогашеною у Барському районі </w:t>
            </w:r>
            <w:r w:rsidRPr="0083726C">
              <w:rPr>
                <w:i/>
              </w:rPr>
              <w:t xml:space="preserve">(підприємство-банкрут – 25,9 </w:t>
            </w:r>
            <w:proofErr w:type="spellStart"/>
            <w:r w:rsidRPr="0083726C">
              <w:rPr>
                <w:i/>
              </w:rPr>
              <w:t>тис.грн</w:t>
            </w:r>
            <w:proofErr w:type="spellEnd"/>
            <w:r w:rsidRPr="0083726C">
              <w:rPr>
                <w:i/>
              </w:rPr>
              <w:t>.).</w:t>
            </w:r>
            <w:r w:rsidRPr="0083726C">
              <w:t xml:space="preserve"> </w:t>
            </w:r>
          </w:p>
          <w:p w:rsidR="00C90834" w:rsidRPr="0083726C" w:rsidRDefault="00C90834" w:rsidP="0000432A">
            <w:pPr>
              <w:pStyle w:val="310"/>
              <w:ind w:firstLine="459"/>
              <w:rPr>
                <w:rFonts w:cs="Times New Roman"/>
                <w:sz w:val="24"/>
              </w:rPr>
            </w:pPr>
            <w:bookmarkStart w:id="0" w:name="_GoBack"/>
            <w:bookmarkEnd w:id="0"/>
          </w:p>
        </w:tc>
      </w:tr>
      <w:tr w:rsidR="00EE6E44" w:rsidRPr="00F43EED" w:rsidTr="00251ED5">
        <w:trPr>
          <w:trHeight w:val="100"/>
        </w:trPr>
        <w:tc>
          <w:tcPr>
            <w:tcW w:w="1063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8F3E50" w:rsidRPr="00F43EED" w:rsidRDefault="008F3E50" w:rsidP="00B90117">
            <w:pPr>
              <w:rPr>
                <w:b/>
                <w:iCs/>
              </w:rPr>
            </w:pPr>
          </w:p>
          <w:p w:rsidR="00EE6E44" w:rsidRPr="00F43EED" w:rsidRDefault="00EE6E44" w:rsidP="00CB796B">
            <w:pPr>
              <w:ind w:firstLine="459"/>
              <w:jc w:val="center"/>
              <w:rPr>
                <w:lang w:val="en-US"/>
              </w:rPr>
            </w:pPr>
            <w:r w:rsidRPr="00F43EED">
              <w:rPr>
                <w:b/>
                <w:iCs/>
              </w:rPr>
              <w:t>РОЗРАХУНКИ ЗА ЕНЕРГОНОСІЇ</w:t>
            </w:r>
          </w:p>
        </w:tc>
      </w:tr>
      <w:tr w:rsidR="005B3981" w:rsidRPr="00F43EED" w:rsidTr="00251ED5">
        <w:trPr>
          <w:trHeight w:val="100"/>
        </w:trPr>
        <w:tc>
          <w:tcPr>
            <w:tcW w:w="1702" w:type="dxa"/>
            <w:shd w:val="clear" w:color="auto" w:fill="auto"/>
          </w:tcPr>
          <w:p w:rsidR="005B3981" w:rsidRPr="00F43EED" w:rsidRDefault="005B3981" w:rsidP="00CB796B">
            <w:pPr>
              <w:pStyle w:val="310"/>
              <w:snapToGrid w:val="0"/>
              <w:jc w:val="left"/>
              <w:rPr>
                <w:rFonts w:cs="Times New Roman"/>
                <w:b/>
                <w:i/>
                <w:sz w:val="24"/>
              </w:rPr>
            </w:pPr>
            <w:r w:rsidRPr="00F43EED">
              <w:rPr>
                <w:rFonts w:cs="Times New Roman"/>
                <w:b/>
                <w:i/>
                <w:iCs/>
                <w:sz w:val="24"/>
              </w:rPr>
              <w:t>Розр</w:t>
            </w:r>
            <w:r w:rsidR="001116C3" w:rsidRPr="00F43EED">
              <w:rPr>
                <w:rFonts w:cs="Times New Roman"/>
                <w:b/>
                <w:i/>
                <w:iCs/>
                <w:sz w:val="24"/>
              </w:rPr>
              <w:t xml:space="preserve">ахунки за </w:t>
            </w:r>
            <w:proofErr w:type="spellStart"/>
            <w:r w:rsidRPr="00F43EED">
              <w:rPr>
                <w:rFonts w:cs="Times New Roman"/>
                <w:b/>
                <w:i/>
                <w:iCs/>
                <w:sz w:val="24"/>
              </w:rPr>
              <w:t>електро</w:t>
            </w:r>
            <w:proofErr w:type="spellEnd"/>
            <w:r w:rsidR="001116C3" w:rsidRPr="00F43EED">
              <w:rPr>
                <w:rFonts w:cs="Times New Roman"/>
                <w:b/>
                <w:i/>
                <w:iCs/>
                <w:sz w:val="24"/>
              </w:rPr>
              <w:t>-</w:t>
            </w:r>
            <w:r w:rsidRPr="00F43EED">
              <w:rPr>
                <w:rFonts w:cs="Times New Roman"/>
                <w:b/>
                <w:i/>
                <w:iCs/>
                <w:sz w:val="24"/>
              </w:rPr>
              <w:t>енергію</w:t>
            </w:r>
          </w:p>
        </w:tc>
        <w:tc>
          <w:tcPr>
            <w:tcW w:w="8930" w:type="dxa"/>
            <w:shd w:val="clear" w:color="auto" w:fill="auto"/>
          </w:tcPr>
          <w:p w:rsidR="00EC46F0" w:rsidRPr="00F43EED" w:rsidRDefault="00EC46F0" w:rsidP="00D27081">
            <w:pPr>
              <w:suppressAutoHyphens/>
              <w:snapToGrid w:val="0"/>
              <w:ind w:firstLine="459"/>
              <w:jc w:val="both"/>
            </w:pPr>
            <w:r w:rsidRPr="00F43EED">
              <w:rPr>
                <w:bCs/>
                <w:iCs/>
              </w:rPr>
              <w:t xml:space="preserve">Рівень оплати за електроенергію </w:t>
            </w:r>
            <w:r w:rsidRPr="00F43EED">
              <w:t xml:space="preserve">споживачами області при нормативних втратах електроенергії за січень-квітень 2016 року склав 102,8%, за відповідний період 2015 року цей показник становив 102,4%. Заборгованість за електроенергію за січень-квітень 2016 року збільшилась на 34,5 </w:t>
            </w:r>
            <w:proofErr w:type="spellStart"/>
            <w:r w:rsidRPr="00F43EED">
              <w:t>млн.грн</w:t>
            </w:r>
            <w:proofErr w:type="spellEnd"/>
            <w:r w:rsidRPr="00F43EED">
              <w:t xml:space="preserve"> або на 39,0% і станом на 1 травня 2016 року з урахуванням боргів минулих років становить 123,0 </w:t>
            </w:r>
            <w:proofErr w:type="spellStart"/>
            <w:r w:rsidRPr="00F43EED">
              <w:t>млн.грн</w:t>
            </w:r>
            <w:proofErr w:type="spellEnd"/>
            <w:r w:rsidRPr="00F43EED">
              <w:t>. При рівні оплати 100% і вище борг може зростати за рахунок того, що фактичні втрати в електромережах вищі за нормативні.</w:t>
            </w:r>
          </w:p>
          <w:p w:rsidR="00EC46F0" w:rsidRPr="00F43EED" w:rsidRDefault="00EC46F0" w:rsidP="00D27081">
            <w:pPr>
              <w:pStyle w:val="a7"/>
              <w:suppressAutoHyphens/>
              <w:ind w:firstLine="459"/>
              <w:rPr>
                <w:b w:val="0"/>
                <w:sz w:val="24"/>
              </w:rPr>
            </w:pPr>
            <w:r w:rsidRPr="00F43EED">
              <w:rPr>
                <w:b w:val="0"/>
                <w:sz w:val="24"/>
              </w:rPr>
              <w:t>При цьому:</w:t>
            </w:r>
          </w:p>
          <w:p w:rsidR="00EC46F0" w:rsidRPr="00F43EED" w:rsidRDefault="00EC46F0" w:rsidP="00D27081">
            <w:pPr>
              <w:pStyle w:val="a7"/>
              <w:numPr>
                <w:ilvl w:val="0"/>
                <w:numId w:val="4"/>
              </w:numPr>
              <w:suppressAutoHyphens/>
              <w:ind w:left="0" w:firstLine="459"/>
              <w:rPr>
                <w:b w:val="0"/>
                <w:sz w:val="24"/>
              </w:rPr>
            </w:pPr>
            <w:r w:rsidRPr="00F43EED">
              <w:rPr>
                <w:b w:val="0"/>
                <w:sz w:val="24"/>
              </w:rPr>
              <w:t xml:space="preserve">заборгованість установ, що фінансуються з державного бюджету з початку року збільшилась на 4,1 </w:t>
            </w:r>
            <w:proofErr w:type="spellStart"/>
            <w:r w:rsidRPr="00F43EED">
              <w:rPr>
                <w:b w:val="0"/>
                <w:sz w:val="24"/>
              </w:rPr>
              <w:t>млн.грн</w:t>
            </w:r>
            <w:proofErr w:type="spellEnd"/>
            <w:r w:rsidRPr="00F43EED">
              <w:rPr>
                <w:b w:val="0"/>
                <w:sz w:val="24"/>
              </w:rPr>
              <w:t xml:space="preserve"> (в 1,8 разів), борг станом на 01.05.2016 р. становить 6,3 </w:t>
            </w:r>
            <w:proofErr w:type="spellStart"/>
            <w:r w:rsidRPr="00F43EED">
              <w:rPr>
                <w:b w:val="0"/>
                <w:sz w:val="24"/>
              </w:rPr>
              <w:t>млн.грн</w:t>
            </w:r>
            <w:proofErr w:type="spellEnd"/>
            <w:r w:rsidRPr="00F43EED">
              <w:rPr>
                <w:b w:val="0"/>
                <w:sz w:val="24"/>
              </w:rPr>
              <w:t>;</w:t>
            </w:r>
          </w:p>
          <w:p w:rsidR="00EC46F0" w:rsidRPr="00F43EED" w:rsidRDefault="00EC46F0" w:rsidP="00D27081">
            <w:pPr>
              <w:pStyle w:val="a7"/>
              <w:numPr>
                <w:ilvl w:val="0"/>
                <w:numId w:val="4"/>
              </w:numPr>
              <w:suppressAutoHyphens/>
              <w:ind w:left="0" w:firstLine="459"/>
              <w:rPr>
                <w:b w:val="0"/>
                <w:sz w:val="24"/>
              </w:rPr>
            </w:pPr>
            <w:r w:rsidRPr="00F43EED">
              <w:rPr>
                <w:b w:val="0"/>
                <w:sz w:val="24"/>
              </w:rPr>
              <w:t xml:space="preserve">заборгованість установ, що фінансуються з місцевого бюджету збільшилась з початку року на 1,0 </w:t>
            </w:r>
            <w:proofErr w:type="spellStart"/>
            <w:r w:rsidRPr="00F43EED">
              <w:rPr>
                <w:b w:val="0"/>
                <w:sz w:val="24"/>
              </w:rPr>
              <w:t>млн.грн</w:t>
            </w:r>
            <w:proofErr w:type="spellEnd"/>
            <w:r w:rsidRPr="00F43EED">
              <w:rPr>
                <w:b w:val="0"/>
                <w:sz w:val="24"/>
              </w:rPr>
              <w:t xml:space="preserve"> (в 4,3 раз), борг станом на 01.05.2016 р. становить       1,2 </w:t>
            </w:r>
            <w:proofErr w:type="spellStart"/>
            <w:r w:rsidRPr="00F43EED">
              <w:rPr>
                <w:b w:val="0"/>
                <w:sz w:val="24"/>
              </w:rPr>
              <w:t>млн.грн</w:t>
            </w:r>
            <w:proofErr w:type="spellEnd"/>
            <w:r w:rsidRPr="00F43EED">
              <w:rPr>
                <w:b w:val="0"/>
                <w:sz w:val="24"/>
              </w:rPr>
              <w:t>;</w:t>
            </w:r>
          </w:p>
          <w:p w:rsidR="00EC46F0" w:rsidRPr="00F43EED" w:rsidRDefault="00EC46F0" w:rsidP="00D27081">
            <w:pPr>
              <w:pStyle w:val="a7"/>
              <w:numPr>
                <w:ilvl w:val="0"/>
                <w:numId w:val="4"/>
              </w:numPr>
              <w:suppressAutoHyphens/>
              <w:ind w:left="0" w:firstLine="459"/>
              <w:rPr>
                <w:b w:val="0"/>
                <w:sz w:val="24"/>
              </w:rPr>
            </w:pPr>
            <w:r w:rsidRPr="00F43EED">
              <w:rPr>
                <w:b w:val="0"/>
                <w:sz w:val="24"/>
              </w:rPr>
              <w:t xml:space="preserve">заборгованість бюджетів по субсидіях та пільгах населенню порівняно з початком 2016 року збільшилась на 9,7 </w:t>
            </w:r>
            <w:proofErr w:type="spellStart"/>
            <w:r w:rsidRPr="00F43EED">
              <w:rPr>
                <w:b w:val="0"/>
                <w:sz w:val="24"/>
              </w:rPr>
              <w:t>млн.грн</w:t>
            </w:r>
            <w:proofErr w:type="spellEnd"/>
            <w:r w:rsidRPr="00F43EED">
              <w:rPr>
                <w:b w:val="0"/>
                <w:sz w:val="24"/>
              </w:rPr>
              <w:t xml:space="preserve"> (на 41%) – борг станом на 01.05.2016 р. становить 32,9 </w:t>
            </w:r>
            <w:proofErr w:type="spellStart"/>
            <w:r w:rsidRPr="00F43EED">
              <w:rPr>
                <w:b w:val="0"/>
                <w:sz w:val="24"/>
              </w:rPr>
              <w:t>млн.грн</w:t>
            </w:r>
            <w:proofErr w:type="spellEnd"/>
            <w:r w:rsidRPr="00F43EED">
              <w:rPr>
                <w:b w:val="0"/>
                <w:sz w:val="24"/>
              </w:rPr>
              <w:t>.</w:t>
            </w:r>
          </w:p>
          <w:p w:rsidR="00EC46F0" w:rsidRPr="00F43EED" w:rsidRDefault="00EC46F0" w:rsidP="00D27081">
            <w:pPr>
              <w:tabs>
                <w:tab w:val="left" w:pos="579"/>
              </w:tabs>
              <w:suppressAutoHyphens/>
              <w:ind w:firstLine="459"/>
              <w:jc w:val="both"/>
            </w:pPr>
            <w:r w:rsidRPr="00F43EED">
              <w:t xml:space="preserve">В 1 районі області рівень оплати за січень-квітень 2016 року при нормативних втратах склався нижче 100%. Найвищий рівень оплати в наступних районах: </w:t>
            </w:r>
            <w:proofErr w:type="spellStart"/>
            <w:r w:rsidRPr="00F43EED">
              <w:t>Мурованокуриловецькому</w:t>
            </w:r>
            <w:proofErr w:type="spellEnd"/>
            <w:r w:rsidRPr="00F43EED">
              <w:t xml:space="preserve"> (115,0%), </w:t>
            </w:r>
            <w:proofErr w:type="spellStart"/>
            <w:r w:rsidRPr="00F43EED">
              <w:t>Погребищенському</w:t>
            </w:r>
            <w:proofErr w:type="spellEnd"/>
            <w:r w:rsidRPr="00F43EED">
              <w:t xml:space="preserve"> (110,7%) та </w:t>
            </w:r>
            <w:proofErr w:type="spellStart"/>
            <w:r w:rsidRPr="00F43EED">
              <w:t>Іллінецькому</w:t>
            </w:r>
            <w:proofErr w:type="spellEnd"/>
            <w:r w:rsidRPr="00F43EED">
              <w:t xml:space="preserve"> (106,7%). Найнижчий рівень оплати в </w:t>
            </w:r>
            <w:proofErr w:type="spellStart"/>
            <w:r w:rsidRPr="00F43EED">
              <w:t>Піщанському</w:t>
            </w:r>
            <w:proofErr w:type="spellEnd"/>
            <w:r w:rsidRPr="00F43EED">
              <w:t xml:space="preserve"> (99,4%), </w:t>
            </w:r>
            <w:proofErr w:type="spellStart"/>
            <w:r w:rsidRPr="00F43EED">
              <w:t>Тиврівському</w:t>
            </w:r>
            <w:proofErr w:type="spellEnd"/>
            <w:r w:rsidRPr="00F43EED">
              <w:t xml:space="preserve"> (100,8%) та Вінницькому (101,0%) районах.</w:t>
            </w:r>
          </w:p>
          <w:p w:rsidR="005B3981" w:rsidRPr="00F43EED" w:rsidRDefault="005B3981" w:rsidP="00D27081">
            <w:pPr>
              <w:pStyle w:val="a7"/>
              <w:ind w:left="357" w:firstLine="459"/>
              <w:rPr>
                <w:b w:val="0"/>
                <w:sz w:val="24"/>
              </w:rPr>
            </w:pPr>
          </w:p>
        </w:tc>
      </w:tr>
      <w:tr w:rsidR="001116C3" w:rsidRPr="00F43EED" w:rsidTr="000E5B5F">
        <w:trPr>
          <w:trHeight w:val="100"/>
        </w:trPr>
        <w:tc>
          <w:tcPr>
            <w:tcW w:w="1702" w:type="dxa"/>
            <w:shd w:val="clear" w:color="auto" w:fill="auto"/>
          </w:tcPr>
          <w:p w:rsidR="001116C3" w:rsidRPr="00F43EED" w:rsidRDefault="001116C3" w:rsidP="00CB796B">
            <w:pPr>
              <w:pStyle w:val="22"/>
              <w:snapToGrid w:val="0"/>
              <w:ind w:firstLine="0"/>
              <w:rPr>
                <w:b/>
                <w:i/>
                <w:iCs/>
                <w:sz w:val="24"/>
              </w:rPr>
            </w:pPr>
            <w:r w:rsidRPr="00F43EED">
              <w:rPr>
                <w:b/>
                <w:i/>
                <w:iCs/>
                <w:sz w:val="24"/>
              </w:rPr>
              <w:t>Розрахунки за природний газ</w:t>
            </w:r>
          </w:p>
          <w:p w:rsidR="001116C3" w:rsidRPr="00F43EED" w:rsidRDefault="001116C3" w:rsidP="00CB796B">
            <w:pPr>
              <w:pStyle w:val="310"/>
              <w:snapToGrid w:val="0"/>
              <w:jc w:val="left"/>
              <w:rPr>
                <w:rFonts w:cs="Times New Roman"/>
                <w:b/>
                <w:i/>
                <w:iCs/>
                <w:sz w:val="24"/>
              </w:rPr>
            </w:pPr>
          </w:p>
        </w:tc>
        <w:tc>
          <w:tcPr>
            <w:tcW w:w="8930" w:type="dxa"/>
            <w:shd w:val="clear" w:color="auto" w:fill="FFFFFF" w:themeFill="background1"/>
          </w:tcPr>
          <w:p w:rsidR="00EC46F0" w:rsidRPr="00F43EED" w:rsidRDefault="00EC46F0" w:rsidP="00D27081">
            <w:pPr>
              <w:suppressAutoHyphens/>
              <w:ind w:firstLine="459"/>
              <w:jc w:val="both"/>
              <w:rPr>
                <w:b/>
                <w:bCs/>
              </w:rPr>
            </w:pPr>
            <w:r w:rsidRPr="00F43EED">
              <w:rPr>
                <w:bCs/>
                <w:iCs/>
              </w:rPr>
              <w:t xml:space="preserve">Рівень оплати за природний газ </w:t>
            </w:r>
            <w:r w:rsidRPr="00F43EED">
              <w:t xml:space="preserve">населенням та бюджетними установами області за січень-квітень 2016 року склав 33,4%, а загальна заборгованість, </w:t>
            </w:r>
            <w:r w:rsidRPr="00F43EED">
              <w:rPr>
                <w:bCs/>
              </w:rPr>
              <w:t>з урахуванням боргів минулих періодів,</w:t>
            </w:r>
            <w:r w:rsidRPr="00F43EED">
              <w:t xml:space="preserve"> становить 654,4 </w:t>
            </w:r>
            <w:proofErr w:type="spellStart"/>
            <w:r w:rsidRPr="00F43EED">
              <w:rPr>
                <w:bCs/>
              </w:rPr>
              <w:t>млн.грн</w:t>
            </w:r>
            <w:proofErr w:type="spellEnd"/>
            <w:r w:rsidRPr="00F43EED">
              <w:rPr>
                <w:bCs/>
              </w:rPr>
              <w:t>. в тому числі: перед ПАТ «</w:t>
            </w:r>
            <w:proofErr w:type="spellStart"/>
            <w:r w:rsidRPr="00F43EED">
              <w:rPr>
                <w:bCs/>
              </w:rPr>
              <w:t>Вінницягаз</w:t>
            </w:r>
            <w:proofErr w:type="spellEnd"/>
            <w:r w:rsidRPr="00F43EED">
              <w:rPr>
                <w:bCs/>
              </w:rPr>
              <w:t>» (з липня 2015 року не реалізовує природний газ) - 53,0 млн. грн. та перед ТОВ «</w:t>
            </w:r>
            <w:proofErr w:type="spellStart"/>
            <w:r w:rsidRPr="00F43EED">
              <w:rPr>
                <w:bCs/>
              </w:rPr>
              <w:t>Вінницягаз</w:t>
            </w:r>
            <w:proofErr w:type="spellEnd"/>
            <w:r w:rsidRPr="00F43EED">
              <w:rPr>
                <w:bCs/>
              </w:rPr>
              <w:t xml:space="preserve"> збут» (створеним в липні 2015 року) 601</w:t>
            </w:r>
            <w:r w:rsidRPr="00F43EED">
              <w:t xml:space="preserve">,4 </w:t>
            </w:r>
            <w:r w:rsidRPr="00F43EED">
              <w:rPr>
                <w:bCs/>
              </w:rPr>
              <w:t>млн. грн.. Таким чином, в порівнянні з відповідним періодом минулого року загальна заборгованість даних категорій споживачів зросла в 4,6 раз.</w:t>
            </w:r>
          </w:p>
          <w:p w:rsidR="00EC46F0" w:rsidRPr="00F43EED" w:rsidRDefault="00EC46F0" w:rsidP="00D27081">
            <w:pPr>
              <w:suppressAutoHyphens/>
              <w:ind w:firstLine="459"/>
              <w:jc w:val="both"/>
              <w:rPr>
                <w:bCs/>
              </w:rPr>
            </w:pPr>
            <w:r w:rsidRPr="00F43EED">
              <w:rPr>
                <w:bCs/>
              </w:rPr>
              <w:t xml:space="preserve">Щодо структури розрахунків </w:t>
            </w:r>
            <w:r w:rsidRPr="00F43EED">
              <w:rPr>
                <w:bCs/>
                <w:iCs/>
              </w:rPr>
              <w:t xml:space="preserve">за природний газ </w:t>
            </w:r>
            <w:r w:rsidRPr="00F43EED">
              <w:t xml:space="preserve">населенням та бюджетними установами області станом на 01.05.2016 року </w:t>
            </w:r>
            <w:r w:rsidRPr="00F43EED">
              <w:rPr>
                <w:bCs/>
              </w:rPr>
              <w:t>перед ТОВ «</w:t>
            </w:r>
            <w:proofErr w:type="spellStart"/>
            <w:r w:rsidRPr="00F43EED">
              <w:rPr>
                <w:bCs/>
              </w:rPr>
              <w:t>Вінницягаз</w:t>
            </w:r>
            <w:proofErr w:type="spellEnd"/>
            <w:r w:rsidRPr="00F43EED">
              <w:rPr>
                <w:bCs/>
              </w:rPr>
              <w:t xml:space="preserve"> збут»: </w:t>
            </w:r>
          </w:p>
          <w:p w:rsidR="00EC46F0" w:rsidRPr="00F43EED" w:rsidRDefault="00EC46F0" w:rsidP="00D27081">
            <w:pPr>
              <w:numPr>
                <w:ilvl w:val="0"/>
                <w:numId w:val="4"/>
              </w:numPr>
              <w:tabs>
                <w:tab w:val="left" w:pos="1054"/>
              </w:tabs>
              <w:suppressAutoHyphens/>
              <w:ind w:left="0" w:firstLine="459"/>
              <w:jc w:val="both"/>
              <w:rPr>
                <w:bCs/>
              </w:rPr>
            </w:pPr>
            <w:r w:rsidRPr="00F43EED">
              <w:rPr>
                <w:bCs/>
              </w:rPr>
              <w:t>заборгованість бюджетними установами та організаціями становить      6,6 млн. грн. (по ПАТ «</w:t>
            </w:r>
            <w:proofErr w:type="spellStart"/>
            <w:r w:rsidRPr="00F43EED">
              <w:rPr>
                <w:bCs/>
              </w:rPr>
              <w:t>Вінницягаз</w:t>
            </w:r>
            <w:proofErr w:type="spellEnd"/>
            <w:r w:rsidRPr="00F43EED">
              <w:rPr>
                <w:bCs/>
              </w:rPr>
              <w:t xml:space="preserve">» </w:t>
            </w:r>
            <w:proofErr w:type="spellStart"/>
            <w:r w:rsidRPr="00F43EED">
              <w:rPr>
                <w:bCs/>
              </w:rPr>
              <w:t>прокредитовано</w:t>
            </w:r>
            <w:proofErr w:type="spellEnd"/>
            <w:r w:rsidRPr="00F43EED">
              <w:rPr>
                <w:bCs/>
              </w:rPr>
              <w:t xml:space="preserve"> 1,1 </w:t>
            </w:r>
            <w:proofErr w:type="spellStart"/>
            <w:r w:rsidRPr="00F43EED">
              <w:rPr>
                <w:bCs/>
              </w:rPr>
              <w:t>млн.грн</w:t>
            </w:r>
            <w:proofErr w:type="spellEnd"/>
            <w:r w:rsidRPr="00F43EED">
              <w:rPr>
                <w:bCs/>
              </w:rPr>
              <w:t>);</w:t>
            </w:r>
          </w:p>
          <w:p w:rsidR="00EC46F0" w:rsidRPr="00F43EED" w:rsidRDefault="00EC46F0" w:rsidP="00D27081">
            <w:pPr>
              <w:numPr>
                <w:ilvl w:val="0"/>
                <w:numId w:val="4"/>
              </w:numPr>
              <w:tabs>
                <w:tab w:val="left" w:pos="1054"/>
              </w:tabs>
              <w:suppressAutoHyphens/>
              <w:ind w:left="0" w:firstLine="459"/>
              <w:jc w:val="both"/>
              <w:rPr>
                <w:bCs/>
              </w:rPr>
            </w:pPr>
            <w:r w:rsidRPr="00F43EED">
              <w:rPr>
                <w:bCs/>
              </w:rPr>
              <w:t xml:space="preserve">заборгованість населенням всього - 594,8 </w:t>
            </w:r>
            <w:proofErr w:type="spellStart"/>
            <w:r w:rsidRPr="00F43EED">
              <w:rPr>
                <w:bCs/>
              </w:rPr>
              <w:t>млн.грн</w:t>
            </w:r>
            <w:proofErr w:type="spellEnd"/>
            <w:r w:rsidRPr="00F43EED">
              <w:rPr>
                <w:bCs/>
              </w:rPr>
              <w:t xml:space="preserve"> (по ПАТ «</w:t>
            </w:r>
            <w:proofErr w:type="spellStart"/>
            <w:r w:rsidRPr="00F43EED">
              <w:rPr>
                <w:bCs/>
              </w:rPr>
              <w:t>Вінницягаз</w:t>
            </w:r>
            <w:proofErr w:type="spellEnd"/>
            <w:r w:rsidRPr="00F43EED">
              <w:rPr>
                <w:bCs/>
              </w:rPr>
              <w:t xml:space="preserve">» заборгованість 54,1 </w:t>
            </w:r>
            <w:proofErr w:type="spellStart"/>
            <w:r w:rsidRPr="00F43EED">
              <w:rPr>
                <w:bCs/>
              </w:rPr>
              <w:t>млн.грн</w:t>
            </w:r>
            <w:proofErr w:type="spellEnd"/>
            <w:r w:rsidRPr="00F43EED">
              <w:rPr>
                <w:bCs/>
              </w:rPr>
              <w:t xml:space="preserve">) </w:t>
            </w:r>
            <w:proofErr w:type="spellStart"/>
            <w:r w:rsidRPr="00F43EED">
              <w:rPr>
                <w:bCs/>
              </w:rPr>
              <w:t>в.т.ч</w:t>
            </w:r>
            <w:proofErr w:type="spellEnd"/>
            <w:r w:rsidRPr="00F43EED">
              <w:rPr>
                <w:bCs/>
              </w:rPr>
              <w:t>.:</w:t>
            </w:r>
          </w:p>
          <w:p w:rsidR="00EC46F0" w:rsidRPr="00F43EED" w:rsidRDefault="00EC46F0" w:rsidP="00D27081">
            <w:pPr>
              <w:tabs>
                <w:tab w:val="left" w:pos="1054"/>
              </w:tabs>
              <w:suppressAutoHyphens/>
              <w:ind w:firstLine="459"/>
              <w:jc w:val="both"/>
              <w:rPr>
                <w:bCs/>
              </w:rPr>
            </w:pPr>
            <w:r w:rsidRPr="00F43EED">
              <w:rPr>
                <w:bCs/>
              </w:rPr>
              <w:t xml:space="preserve">- безпосередньо населенням – </w:t>
            </w:r>
            <w:proofErr w:type="spellStart"/>
            <w:r w:rsidRPr="00F43EED">
              <w:rPr>
                <w:bCs/>
              </w:rPr>
              <w:t>прокредитовано</w:t>
            </w:r>
            <w:proofErr w:type="spellEnd"/>
            <w:r w:rsidRPr="00F43EED">
              <w:rPr>
                <w:bCs/>
              </w:rPr>
              <w:t xml:space="preserve"> 1390,1 </w:t>
            </w:r>
            <w:proofErr w:type="spellStart"/>
            <w:r w:rsidRPr="00F43EED">
              <w:rPr>
                <w:bCs/>
              </w:rPr>
              <w:t>млн.грн</w:t>
            </w:r>
            <w:proofErr w:type="spellEnd"/>
            <w:r w:rsidRPr="00F43EED">
              <w:rPr>
                <w:bCs/>
              </w:rPr>
              <w:t xml:space="preserve"> (по ПАТ «</w:t>
            </w:r>
            <w:proofErr w:type="spellStart"/>
            <w:r w:rsidRPr="00F43EED">
              <w:rPr>
                <w:bCs/>
              </w:rPr>
              <w:t>Вінницягаз</w:t>
            </w:r>
            <w:proofErr w:type="spellEnd"/>
            <w:r w:rsidRPr="00F43EED">
              <w:rPr>
                <w:bCs/>
              </w:rPr>
              <w:t xml:space="preserve">» заборгованість 54,1 </w:t>
            </w:r>
            <w:proofErr w:type="spellStart"/>
            <w:r w:rsidRPr="00F43EED">
              <w:rPr>
                <w:bCs/>
              </w:rPr>
              <w:t>млн.грн</w:t>
            </w:r>
            <w:proofErr w:type="spellEnd"/>
            <w:r w:rsidRPr="00F43EED">
              <w:rPr>
                <w:bCs/>
              </w:rPr>
              <w:t>);</w:t>
            </w:r>
          </w:p>
          <w:p w:rsidR="00EC46F0" w:rsidRPr="00F43EED" w:rsidRDefault="00EC46F0" w:rsidP="00D27081">
            <w:pPr>
              <w:tabs>
                <w:tab w:val="left" w:pos="1054"/>
              </w:tabs>
              <w:suppressAutoHyphens/>
              <w:ind w:firstLine="459"/>
              <w:jc w:val="both"/>
              <w:rPr>
                <w:bCs/>
              </w:rPr>
            </w:pPr>
            <w:r w:rsidRPr="00F43EED">
              <w:rPr>
                <w:bCs/>
              </w:rPr>
              <w:t xml:space="preserve">- по пільгах населенню заборгованість 125,3 </w:t>
            </w:r>
            <w:proofErr w:type="spellStart"/>
            <w:r w:rsidRPr="00F43EED">
              <w:rPr>
                <w:bCs/>
              </w:rPr>
              <w:t>млн.грн</w:t>
            </w:r>
            <w:proofErr w:type="spellEnd"/>
            <w:r w:rsidRPr="00F43EED">
              <w:rPr>
                <w:bCs/>
              </w:rPr>
              <w:t xml:space="preserve"> (по ПАТ «</w:t>
            </w:r>
            <w:proofErr w:type="spellStart"/>
            <w:r w:rsidRPr="00F43EED">
              <w:rPr>
                <w:bCs/>
              </w:rPr>
              <w:t>Вінницягаз</w:t>
            </w:r>
            <w:proofErr w:type="spellEnd"/>
            <w:r w:rsidRPr="00F43EED">
              <w:rPr>
                <w:bCs/>
              </w:rPr>
              <w:t>» заборгованість відсутня);</w:t>
            </w:r>
          </w:p>
          <w:p w:rsidR="00D81982" w:rsidRPr="00F43EED" w:rsidRDefault="00EC46F0" w:rsidP="00D27081">
            <w:pPr>
              <w:tabs>
                <w:tab w:val="left" w:pos="1054"/>
              </w:tabs>
              <w:suppressAutoHyphens/>
              <w:ind w:firstLine="459"/>
              <w:jc w:val="both"/>
            </w:pPr>
            <w:r w:rsidRPr="00F43EED">
              <w:rPr>
                <w:bCs/>
              </w:rPr>
              <w:t xml:space="preserve">- по субсидіях  населенню заборгованість 1859,6 </w:t>
            </w:r>
            <w:proofErr w:type="spellStart"/>
            <w:r w:rsidRPr="00F43EED">
              <w:rPr>
                <w:bCs/>
              </w:rPr>
              <w:t>млн.грн</w:t>
            </w:r>
            <w:proofErr w:type="spellEnd"/>
            <w:r w:rsidRPr="00F43EED">
              <w:rPr>
                <w:bCs/>
              </w:rPr>
              <w:t xml:space="preserve"> (по ПАТ «</w:t>
            </w:r>
            <w:proofErr w:type="spellStart"/>
            <w:r w:rsidRPr="00F43EED">
              <w:rPr>
                <w:bCs/>
              </w:rPr>
              <w:t>Вінницягаз</w:t>
            </w:r>
            <w:proofErr w:type="spellEnd"/>
            <w:r w:rsidRPr="00F43EED">
              <w:rPr>
                <w:bCs/>
              </w:rPr>
              <w:t>» заборгованість відсутня).</w:t>
            </w:r>
          </w:p>
          <w:p w:rsidR="00095901" w:rsidRPr="00F43EED" w:rsidRDefault="00095901" w:rsidP="00D27081">
            <w:pPr>
              <w:suppressAutoHyphens/>
              <w:ind w:firstLine="459"/>
              <w:jc w:val="both"/>
            </w:pPr>
          </w:p>
        </w:tc>
      </w:tr>
      <w:tr w:rsidR="001116C3" w:rsidRPr="00F43EED" w:rsidTr="00251ED5">
        <w:trPr>
          <w:trHeight w:val="100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1116C3" w:rsidRPr="00F43EED" w:rsidRDefault="001116C3" w:rsidP="00CB796B">
            <w:pPr>
              <w:pStyle w:val="22"/>
              <w:snapToGrid w:val="0"/>
              <w:ind w:firstLine="0"/>
              <w:rPr>
                <w:b/>
                <w:i/>
                <w:iCs/>
                <w:sz w:val="24"/>
              </w:rPr>
            </w:pPr>
            <w:r w:rsidRPr="00F43EED">
              <w:rPr>
                <w:b/>
                <w:i/>
                <w:iCs/>
                <w:sz w:val="24"/>
              </w:rPr>
              <w:t>Розрахунки за житлово-комунальні послуги</w:t>
            </w: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:rsidR="00EC46F0" w:rsidRPr="00F43EED" w:rsidRDefault="00EC46F0" w:rsidP="00D27081">
            <w:pPr>
              <w:suppressAutoHyphens/>
              <w:ind w:firstLine="459"/>
              <w:jc w:val="both"/>
            </w:pPr>
            <w:r w:rsidRPr="00F43EED">
              <w:rPr>
                <w:b/>
                <w:i/>
              </w:rPr>
              <w:t>Рівень оплати за житлово-комунальні послуги</w:t>
            </w:r>
            <w:r w:rsidRPr="00F43EED">
              <w:t xml:space="preserve"> населенням області за січень-квітень 2016 року становить 175,8%, за відповідний період минулого року рівень оплати становив 108,5%.</w:t>
            </w:r>
          </w:p>
          <w:p w:rsidR="00EC46F0" w:rsidRPr="00F43EED" w:rsidRDefault="00EC46F0" w:rsidP="00D27081">
            <w:pPr>
              <w:suppressAutoHyphens/>
              <w:ind w:firstLine="459"/>
              <w:jc w:val="both"/>
            </w:pPr>
            <w:r w:rsidRPr="00F43EED">
              <w:t>Рівень оплати нижче 100% за житлово-комунальні послуги станом на 01.05.2016  року склався у 8 районах області.</w:t>
            </w:r>
          </w:p>
          <w:p w:rsidR="00EC46F0" w:rsidRPr="00F43EED" w:rsidRDefault="00EC46F0" w:rsidP="00D27081">
            <w:pPr>
              <w:suppressAutoHyphens/>
              <w:ind w:firstLine="459"/>
              <w:jc w:val="both"/>
            </w:pPr>
            <w:r w:rsidRPr="00F43EED">
              <w:lastRenderedPageBreak/>
              <w:t xml:space="preserve">При цьому серед районів та міст обласного значення найнижчий рівень оплати спостерігається в: </w:t>
            </w:r>
            <w:proofErr w:type="spellStart"/>
            <w:r w:rsidRPr="00F43EED">
              <w:t>Немирівському</w:t>
            </w:r>
            <w:proofErr w:type="spellEnd"/>
            <w:r w:rsidRPr="00F43EED">
              <w:t xml:space="preserve"> (54,6%)</w:t>
            </w:r>
            <w:r w:rsidRPr="00F43EED">
              <w:rPr>
                <w:lang w:val="ru-RU"/>
              </w:rPr>
              <w:t>,</w:t>
            </w:r>
            <w:r w:rsidRPr="00F43EED">
              <w:t xml:space="preserve"> Могилів-Подільському</w:t>
            </w:r>
            <w:r w:rsidRPr="00F43EED">
              <w:rPr>
                <w:lang w:val="ru-RU"/>
              </w:rPr>
              <w:t xml:space="preserve"> (89,3%) </w:t>
            </w:r>
            <w:r w:rsidRPr="00F43EED">
              <w:t xml:space="preserve">та </w:t>
            </w:r>
            <w:proofErr w:type="spellStart"/>
            <w:r w:rsidRPr="00F43EED">
              <w:t>Піщанському</w:t>
            </w:r>
            <w:proofErr w:type="spellEnd"/>
            <w:r w:rsidRPr="00F43EED">
              <w:t xml:space="preserve"> (92,9%) районах.</w:t>
            </w:r>
          </w:p>
          <w:p w:rsidR="001116C3" w:rsidRPr="00F43EED" w:rsidRDefault="001116C3" w:rsidP="00D27081">
            <w:pPr>
              <w:suppressAutoHyphens/>
              <w:ind w:firstLine="459"/>
              <w:jc w:val="both"/>
            </w:pPr>
          </w:p>
        </w:tc>
      </w:tr>
      <w:tr w:rsidR="001116C3" w:rsidRPr="00F43EED" w:rsidTr="00251ED5">
        <w:trPr>
          <w:trHeight w:val="100"/>
        </w:trPr>
        <w:tc>
          <w:tcPr>
            <w:tcW w:w="1063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8F3E50" w:rsidRPr="00F43EED" w:rsidRDefault="008F3E50" w:rsidP="00CB796B">
            <w:pPr>
              <w:suppressAutoHyphens/>
              <w:ind w:firstLine="459"/>
              <w:jc w:val="center"/>
              <w:rPr>
                <w:b/>
              </w:rPr>
            </w:pPr>
          </w:p>
          <w:p w:rsidR="001116C3" w:rsidRPr="00F43EED" w:rsidRDefault="001116C3" w:rsidP="00CB796B">
            <w:pPr>
              <w:suppressAutoHyphens/>
              <w:ind w:firstLine="459"/>
              <w:jc w:val="center"/>
              <w:rPr>
                <w:b/>
                <w:i/>
              </w:rPr>
            </w:pPr>
            <w:r w:rsidRPr="00F43EED">
              <w:rPr>
                <w:b/>
              </w:rPr>
              <w:t>ТОРГІВЛЯ ТА СФЕРА ПОСЛУГ</w:t>
            </w:r>
          </w:p>
        </w:tc>
      </w:tr>
      <w:tr w:rsidR="001116C3" w:rsidRPr="00E44867" w:rsidTr="00251ED5">
        <w:trPr>
          <w:trHeight w:val="100"/>
        </w:trPr>
        <w:tc>
          <w:tcPr>
            <w:tcW w:w="1702" w:type="dxa"/>
            <w:shd w:val="clear" w:color="auto" w:fill="auto"/>
          </w:tcPr>
          <w:p w:rsidR="001116C3" w:rsidRPr="00F43EED" w:rsidRDefault="001116C3" w:rsidP="00CB796B">
            <w:pPr>
              <w:pStyle w:val="32"/>
              <w:snapToGrid w:val="0"/>
              <w:spacing w:after="0"/>
              <w:jc w:val="both"/>
              <w:rPr>
                <w:b/>
                <w:i/>
                <w:iCs/>
                <w:sz w:val="24"/>
                <w:szCs w:val="24"/>
              </w:rPr>
            </w:pPr>
            <w:r w:rsidRPr="00F43EED">
              <w:rPr>
                <w:b/>
                <w:i/>
                <w:iCs/>
                <w:sz w:val="24"/>
                <w:szCs w:val="24"/>
              </w:rPr>
              <w:t>Товарооборот області</w:t>
            </w:r>
          </w:p>
        </w:tc>
        <w:tc>
          <w:tcPr>
            <w:tcW w:w="8930" w:type="dxa"/>
            <w:shd w:val="clear" w:color="auto" w:fill="auto"/>
          </w:tcPr>
          <w:p w:rsidR="0079619A" w:rsidRPr="00F43EED" w:rsidRDefault="0079619A" w:rsidP="00D27081">
            <w:pPr>
              <w:suppressAutoHyphens/>
              <w:ind w:firstLine="459"/>
              <w:jc w:val="both"/>
            </w:pPr>
            <w:r w:rsidRPr="00F43EED">
              <w:t>За даними Головного управління статистики у Вінницькій області оборот роздрібної торгівлі області за січень-квітень 2016 року  склав -  10815,2 млн.  гривень,  що більше в порівняних цінах до відповідного періоду минулого року на 5,6 % (по Україні  збільшився  на 2,5%).</w:t>
            </w:r>
          </w:p>
          <w:p w:rsidR="0079619A" w:rsidRPr="00F43EED" w:rsidRDefault="0079619A" w:rsidP="00D27081">
            <w:pPr>
              <w:suppressAutoHyphens/>
              <w:ind w:firstLine="459"/>
              <w:jc w:val="both"/>
            </w:pPr>
            <w:r w:rsidRPr="00F43EED">
              <w:t>За темпами  зростання обороту роздрібної торгівлі  за січень-квітень поточного року область займає  7 місце серед регіонів України.</w:t>
            </w:r>
          </w:p>
          <w:p w:rsidR="0079619A" w:rsidRPr="0079619A" w:rsidRDefault="0079619A" w:rsidP="00D27081">
            <w:pPr>
              <w:suppressAutoHyphens/>
              <w:ind w:firstLine="459"/>
              <w:jc w:val="both"/>
            </w:pPr>
            <w:r w:rsidRPr="00F43EED">
              <w:t>Обсяг послуг, реалізованих споживачам підприємствами сфери послуг Вінницької області за  1 квартал 2016 року  становив 1672,1 млн. грн., в тому числі обсяг послуг, реалізованих населенню –  680,8 тис. грн., що становить 40,7 %  від загальних обсягів послуг.</w:t>
            </w:r>
          </w:p>
          <w:p w:rsidR="001116C3" w:rsidRPr="00E44867" w:rsidRDefault="001116C3" w:rsidP="00D27081">
            <w:pPr>
              <w:suppressAutoHyphens/>
              <w:ind w:firstLine="459"/>
              <w:jc w:val="both"/>
            </w:pPr>
          </w:p>
        </w:tc>
      </w:tr>
    </w:tbl>
    <w:p w:rsidR="00C573CC" w:rsidRPr="00E44867" w:rsidRDefault="00C573CC" w:rsidP="00CB796B">
      <w:pPr>
        <w:pStyle w:val="32"/>
        <w:spacing w:after="0"/>
        <w:rPr>
          <w:b/>
          <w:i/>
          <w:sz w:val="24"/>
          <w:szCs w:val="24"/>
          <w:u w:val="single"/>
        </w:rPr>
      </w:pPr>
    </w:p>
    <w:p w:rsidR="00C573CC" w:rsidRPr="00E44867" w:rsidRDefault="00C573CC" w:rsidP="00CB796B">
      <w:pPr>
        <w:pStyle w:val="32"/>
        <w:spacing w:after="0"/>
        <w:rPr>
          <w:b/>
          <w:i/>
          <w:sz w:val="24"/>
          <w:szCs w:val="24"/>
          <w:u w:val="single"/>
        </w:rPr>
      </w:pPr>
    </w:p>
    <w:p w:rsidR="00C573CC" w:rsidRPr="00E44867" w:rsidRDefault="00C573CC" w:rsidP="00CB796B">
      <w:pPr>
        <w:pStyle w:val="32"/>
        <w:spacing w:after="0"/>
        <w:jc w:val="right"/>
        <w:rPr>
          <w:b/>
          <w:i/>
          <w:sz w:val="24"/>
          <w:szCs w:val="24"/>
          <w:u w:val="single"/>
        </w:rPr>
      </w:pPr>
      <w:r w:rsidRPr="00E44867">
        <w:rPr>
          <w:b/>
          <w:i/>
          <w:sz w:val="24"/>
          <w:szCs w:val="24"/>
          <w:u w:val="single"/>
        </w:rPr>
        <w:t xml:space="preserve">Питання, які відносяться до компетенції </w:t>
      </w:r>
    </w:p>
    <w:p w:rsidR="00C573CC" w:rsidRPr="00802154" w:rsidRDefault="00C573CC" w:rsidP="00CB796B">
      <w:pPr>
        <w:pStyle w:val="32"/>
        <w:spacing w:after="0"/>
        <w:jc w:val="right"/>
        <w:rPr>
          <w:b/>
          <w:i/>
          <w:sz w:val="24"/>
          <w:szCs w:val="24"/>
          <w:u w:val="single"/>
        </w:rPr>
      </w:pPr>
      <w:r w:rsidRPr="00E44867">
        <w:rPr>
          <w:b/>
          <w:i/>
          <w:sz w:val="24"/>
          <w:szCs w:val="24"/>
          <w:u w:val="single"/>
        </w:rPr>
        <w:t xml:space="preserve">Департаменту </w:t>
      </w:r>
      <w:r w:rsidR="0079619A">
        <w:rPr>
          <w:b/>
          <w:i/>
          <w:sz w:val="24"/>
          <w:szCs w:val="24"/>
          <w:u w:val="single"/>
        </w:rPr>
        <w:t xml:space="preserve">міжнародного співробітництва та </w:t>
      </w:r>
      <w:r w:rsidRPr="00E44867">
        <w:rPr>
          <w:b/>
          <w:i/>
          <w:sz w:val="24"/>
          <w:szCs w:val="24"/>
          <w:u w:val="single"/>
        </w:rPr>
        <w:t>регіонального розвитку ОДА</w:t>
      </w:r>
    </w:p>
    <w:p w:rsidR="00B046B4" w:rsidRPr="00BA098A" w:rsidRDefault="00B046B4" w:rsidP="00CB796B">
      <w:pPr>
        <w:pStyle w:val="32"/>
        <w:spacing w:after="0"/>
        <w:jc w:val="right"/>
        <w:rPr>
          <w:b/>
          <w:i/>
          <w:sz w:val="24"/>
          <w:szCs w:val="24"/>
        </w:rPr>
      </w:pPr>
    </w:p>
    <w:sectPr w:rsidR="00B046B4" w:rsidRPr="00BA098A" w:rsidSect="00E27E46">
      <w:footerReference w:type="even" r:id="rId15"/>
      <w:footerReference w:type="default" r:id="rId16"/>
      <w:pgSz w:w="11905" w:h="16837"/>
      <w:pgMar w:top="426" w:right="990" w:bottom="142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6F0" w:rsidRDefault="00CD76F0">
      <w:r>
        <w:separator/>
      </w:r>
    </w:p>
  </w:endnote>
  <w:endnote w:type="continuationSeparator" w:id="0">
    <w:p w:rsidR="00CD76F0" w:rsidRDefault="00CD7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 Unicode MS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6F0" w:rsidRDefault="00CD76F0" w:rsidP="00DF2532">
    <w:pPr>
      <w:pStyle w:val="afc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76F0" w:rsidRDefault="00CD76F0" w:rsidP="00F06908">
    <w:pPr>
      <w:pStyle w:val="af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6F0" w:rsidRPr="00BC3FBD" w:rsidRDefault="00CD76F0" w:rsidP="00DF2532">
    <w:pPr>
      <w:pStyle w:val="afc"/>
      <w:framePr w:wrap="around" w:vAnchor="text" w:hAnchor="margin" w:xAlign="outside" w:y="1"/>
      <w:rPr>
        <w:rStyle w:val="a5"/>
        <w:sz w:val="18"/>
        <w:szCs w:val="18"/>
      </w:rPr>
    </w:pPr>
    <w:r w:rsidRPr="00BC3FBD">
      <w:rPr>
        <w:rStyle w:val="a5"/>
        <w:sz w:val="18"/>
        <w:szCs w:val="18"/>
      </w:rPr>
      <w:fldChar w:fldCharType="begin"/>
    </w:r>
    <w:r w:rsidRPr="00BC3FBD">
      <w:rPr>
        <w:rStyle w:val="a5"/>
        <w:sz w:val="18"/>
        <w:szCs w:val="18"/>
      </w:rPr>
      <w:instrText xml:space="preserve">PAGE  </w:instrText>
    </w:r>
    <w:r w:rsidRPr="00BC3FBD">
      <w:rPr>
        <w:rStyle w:val="a5"/>
        <w:sz w:val="18"/>
        <w:szCs w:val="18"/>
      </w:rPr>
      <w:fldChar w:fldCharType="separate"/>
    </w:r>
    <w:r w:rsidR="0083726C">
      <w:rPr>
        <w:rStyle w:val="a5"/>
        <w:noProof/>
        <w:sz w:val="18"/>
        <w:szCs w:val="18"/>
      </w:rPr>
      <w:t>18</w:t>
    </w:r>
    <w:r w:rsidRPr="00BC3FBD">
      <w:rPr>
        <w:rStyle w:val="a5"/>
        <w:sz w:val="18"/>
        <w:szCs w:val="18"/>
      </w:rPr>
      <w:fldChar w:fldCharType="end"/>
    </w:r>
  </w:p>
  <w:p w:rsidR="00CD76F0" w:rsidRDefault="00CD76F0" w:rsidP="00F06908">
    <w:pPr>
      <w:pStyle w:val="af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6F0" w:rsidRDefault="00CD76F0">
      <w:r>
        <w:separator/>
      </w:r>
    </w:p>
  </w:footnote>
  <w:footnote w:type="continuationSeparator" w:id="0">
    <w:p w:rsidR="00CD76F0" w:rsidRDefault="00CD76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95AEDC0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8"/>
    <w:lvl w:ilvl="0">
      <w:start w:val="1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/>
      </w:rPr>
    </w:lvl>
  </w:abstractNum>
  <w:abstractNum w:abstractNumId="3">
    <w:nsid w:val="00000004"/>
    <w:multiLevelType w:val="singleLevel"/>
    <w:tmpl w:val="00000004"/>
    <w:name w:val="WW8Num19"/>
    <w:lvl w:ilvl="0"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hAnsi="Times New Roman" w:cs="Times New Roman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1350712"/>
    <w:multiLevelType w:val="multilevel"/>
    <w:tmpl w:val="FBBAAC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2732491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7">
    <w:nsid w:val="05E1324E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8">
    <w:nsid w:val="083C2147"/>
    <w:multiLevelType w:val="multilevel"/>
    <w:tmpl w:val="D5BAFD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9">
    <w:nsid w:val="0F206204"/>
    <w:multiLevelType w:val="hybridMultilevel"/>
    <w:tmpl w:val="010C97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AD0321"/>
    <w:multiLevelType w:val="hybridMultilevel"/>
    <w:tmpl w:val="95BE221A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1">
    <w:nsid w:val="109B4DC3"/>
    <w:multiLevelType w:val="hybridMultilevel"/>
    <w:tmpl w:val="D6A2B97A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2">
    <w:nsid w:val="11080B4E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3">
    <w:nsid w:val="12D403F0"/>
    <w:multiLevelType w:val="hybridMultilevel"/>
    <w:tmpl w:val="79FE6AEC"/>
    <w:lvl w:ilvl="0" w:tplc="5CC20C7C">
      <w:numFmt w:val="bullet"/>
      <w:lvlText w:val="-"/>
      <w:lvlJc w:val="left"/>
      <w:pPr>
        <w:ind w:left="110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14">
    <w:nsid w:val="130C6225"/>
    <w:multiLevelType w:val="multilevel"/>
    <w:tmpl w:val="0E786A2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3B427B"/>
    <w:multiLevelType w:val="multilevel"/>
    <w:tmpl w:val="75664A6C"/>
    <w:lvl w:ilvl="0">
      <w:start w:val="3"/>
      <w:numFmt w:val="bullet"/>
      <w:lvlText w:val="-"/>
      <w:lvlJc w:val="left"/>
      <w:pPr>
        <w:tabs>
          <w:tab w:val="num" w:pos="870"/>
        </w:tabs>
        <w:ind w:left="870" w:hanging="87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1E3502E2"/>
    <w:multiLevelType w:val="multilevel"/>
    <w:tmpl w:val="759C52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1F386E3C"/>
    <w:multiLevelType w:val="hybridMultilevel"/>
    <w:tmpl w:val="A3D821D8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8">
    <w:nsid w:val="1FEC6610"/>
    <w:multiLevelType w:val="hybridMultilevel"/>
    <w:tmpl w:val="8A48502C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9">
    <w:nsid w:val="2277797E"/>
    <w:multiLevelType w:val="hybridMultilevel"/>
    <w:tmpl w:val="39783152"/>
    <w:lvl w:ilvl="0" w:tplc="A54CF2C2">
      <w:start w:val="3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30B2708"/>
    <w:multiLevelType w:val="hybridMultilevel"/>
    <w:tmpl w:val="0506F9E0"/>
    <w:lvl w:ilvl="0" w:tplc="D044487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7FF0BA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65C552D"/>
    <w:multiLevelType w:val="hybridMultilevel"/>
    <w:tmpl w:val="BC90805A"/>
    <w:lvl w:ilvl="0" w:tplc="8572F556">
      <w:start w:val="3"/>
      <w:numFmt w:val="bullet"/>
      <w:lvlText w:val="-"/>
      <w:lvlJc w:val="left"/>
      <w:pPr>
        <w:tabs>
          <w:tab w:val="num" w:pos="35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9293713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3">
    <w:nsid w:val="2DA12A78"/>
    <w:multiLevelType w:val="hybridMultilevel"/>
    <w:tmpl w:val="32729840"/>
    <w:name w:val="WW8Num13"/>
    <w:lvl w:ilvl="0" w:tplc="B49C5AB4">
      <w:start w:val="1"/>
      <w:numFmt w:val="decimal"/>
      <w:lvlText w:val="%1."/>
      <w:lvlJc w:val="left"/>
      <w:pPr>
        <w:tabs>
          <w:tab w:val="num" w:pos="-641"/>
        </w:tabs>
        <w:ind w:left="-641" w:firstLine="641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1247BE3"/>
    <w:multiLevelType w:val="hybridMultilevel"/>
    <w:tmpl w:val="F0AA31C0"/>
    <w:name w:val="WW8Num142"/>
    <w:lvl w:ilvl="0" w:tplc="E3A6E6F4">
      <w:start w:val="1"/>
      <w:numFmt w:val="decimal"/>
      <w:lvlText w:val="%1."/>
      <w:lvlJc w:val="left"/>
      <w:pPr>
        <w:tabs>
          <w:tab w:val="num" w:pos="-357"/>
        </w:tabs>
        <w:ind w:left="-357" w:firstLine="714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24370A3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6">
    <w:nsid w:val="335F06B7"/>
    <w:multiLevelType w:val="hybridMultilevel"/>
    <w:tmpl w:val="A14EA776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7">
    <w:nsid w:val="352877C4"/>
    <w:multiLevelType w:val="hybridMultilevel"/>
    <w:tmpl w:val="F40891F6"/>
    <w:lvl w:ilvl="0" w:tplc="AA924CA4">
      <w:start w:val="1"/>
      <w:numFmt w:val="bullet"/>
      <w:lvlText w:val=""/>
      <w:lvlJc w:val="left"/>
      <w:pPr>
        <w:ind w:left="18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8">
    <w:nsid w:val="384C7722"/>
    <w:multiLevelType w:val="multilevel"/>
    <w:tmpl w:val="501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3B58639E"/>
    <w:multiLevelType w:val="hybridMultilevel"/>
    <w:tmpl w:val="ED28A96E"/>
    <w:lvl w:ilvl="0" w:tplc="08E0FB7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3D0F1B8E"/>
    <w:multiLevelType w:val="multilevel"/>
    <w:tmpl w:val="9BE052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3D9A6F5A"/>
    <w:multiLevelType w:val="hybridMultilevel"/>
    <w:tmpl w:val="63BC8482"/>
    <w:lvl w:ilvl="0" w:tplc="5CC20C7C">
      <w:numFmt w:val="bullet"/>
      <w:lvlText w:val="-"/>
      <w:lvlJc w:val="left"/>
      <w:pPr>
        <w:ind w:left="1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32">
    <w:nsid w:val="45230C47"/>
    <w:multiLevelType w:val="hybridMultilevel"/>
    <w:tmpl w:val="504CFC34"/>
    <w:name w:val="WW8Num12"/>
    <w:lvl w:ilvl="0" w:tplc="4A18E3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CF34CD5"/>
    <w:multiLevelType w:val="multilevel"/>
    <w:tmpl w:val="0506F9E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FCA35DE"/>
    <w:multiLevelType w:val="multilevel"/>
    <w:tmpl w:val="47BC6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5">
    <w:nsid w:val="506C036D"/>
    <w:multiLevelType w:val="multilevel"/>
    <w:tmpl w:val="C7465678"/>
    <w:name w:val="WW8Num14"/>
    <w:lvl w:ilvl="0">
      <w:start w:val="1"/>
      <w:numFmt w:val="decimal"/>
      <w:lvlText w:val="%1."/>
      <w:lvlJc w:val="left"/>
      <w:pPr>
        <w:tabs>
          <w:tab w:val="num" w:pos="-357"/>
        </w:tabs>
        <w:ind w:left="-357" w:firstLine="714"/>
      </w:pPr>
      <w:rPr>
        <w:rFonts w:hint="default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36">
    <w:nsid w:val="51B84A86"/>
    <w:multiLevelType w:val="multilevel"/>
    <w:tmpl w:val="D368C6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37">
    <w:nsid w:val="53AD623C"/>
    <w:multiLevelType w:val="hybridMultilevel"/>
    <w:tmpl w:val="3B022310"/>
    <w:lvl w:ilvl="0" w:tplc="5CC20C7C">
      <w:numFmt w:val="bullet"/>
      <w:lvlText w:val="-"/>
      <w:lvlJc w:val="left"/>
      <w:pPr>
        <w:ind w:left="110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38">
    <w:nsid w:val="54CF549D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9">
    <w:nsid w:val="588B2512"/>
    <w:multiLevelType w:val="hybridMultilevel"/>
    <w:tmpl w:val="CF800796"/>
    <w:name w:val="WW8Num19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>
    <w:nsid w:val="594D2564"/>
    <w:multiLevelType w:val="hybridMultilevel"/>
    <w:tmpl w:val="4D2C1DAE"/>
    <w:lvl w:ilvl="0" w:tplc="AA924C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4E57647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42">
    <w:nsid w:val="662868F2"/>
    <w:multiLevelType w:val="hybridMultilevel"/>
    <w:tmpl w:val="8F588428"/>
    <w:lvl w:ilvl="0" w:tplc="00000003">
      <w:start w:val="11"/>
      <w:numFmt w:val="bullet"/>
      <w:lvlText w:val="-"/>
      <w:lvlJc w:val="left"/>
      <w:pPr>
        <w:ind w:left="1429" w:hanging="360"/>
      </w:pPr>
      <w:rPr>
        <w:rFonts w:ascii="Times New Roman" w:hAnsi="Times New Roman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66A810EB"/>
    <w:multiLevelType w:val="multilevel"/>
    <w:tmpl w:val="3000F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44">
    <w:nsid w:val="76283F9B"/>
    <w:multiLevelType w:val="hybridMultilevel"/>
    <w:tmpl w:val="CDC80722"/>
    <w:lvl w:ilvl="0" w:tplc="AA924CA4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45">
    <w:nsid w:val="77472144"/>
    <w:multiLevelType w:val="hybridMultilevel"/>
    <w:tmpl w:val="DAB00C78"/>
    <w:lvl w:ilvl="0" w:tplc="0422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46">
    <w:nsid w:val="7C9E17AF"/>
    <w:multiLevelType w:val="multilevel"/>
    <w:tmpl w:val="860A96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9"/>
  </w:num>
  <w:num w:numId="5">
    <w:abstractNumId w:val="35"/>
  </w:num>
  <w:num w:numId="6">
    <w:abstractNumId w:val="24"/>
  </w:num>
  <w:num w:numId="7">
    <w:abstractNumId w:val="1"/>
  </w:num>
  <w:num w:numId="8">
    <w:abstractNumId w:val="9"/>
  </w:num>
  <w:num w:numId="9">
    <w:abstractNumId w:val="29"/>
  </w:num>
  <w:num w:numId="10">
    <w:abstractNumId w:val="21"/>
  </w:num>
  <w:num w:numId="1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43"/>
  </w:num>
  <w:num w:numId="14">
    <w:abstractNumId w:val="25"/>
  </w:num>
  <w:num w:numId="15">
    <w:abstractNumId w:val="41"/>
  </w:num>
  <w:num w:numId="16">
    <w:abstractNumId w:val="38"/>
  </w:num>
  <w:num w:numId="17">
    <w:abstractNumId w:val="6"/>
  </w:num>
  <w:num w:numId="18">
    <w:abstractNumId w:val="12"/>
  </w:num>
  <w:num w:numId="19">
    <w:abstractNumId w:val="3"/>
  </w:num>
  <w:num w:numId="20">
    <w:abstractNumId w:val="30"/>
  </w:num>
  <w:num w:numId="21">
    <w:abstractNumId w:val="16"/>
  </w:num>
  <w:num w:numId="22">
    <w:abstractNumId w:val="15"/>
  </w:num>
  <w:num w:numId="23">
    <w:abstractNumId w:val="7"/>
  </w:num>
  <w:num w:numId="24">
    <w:abstractNumId w:val="5"/>
  </w:num>
  <w:num w:numId="25">
    <w:abstractNumId w:val="39"/>
  </w:num>
  <w:num w:numId="26">
    <w:abstractNumId w:val="46"/>
  </w:num>
  <w:num w:numId="27">
    <w:abstractNumId w:val="28"/>
  </w:num>
  <w:num w:numId="28">
    <w:abstractNumId w:val="20"/>
  </w:num>
  <w:num w:numId="29">
    <w:abstractNumId w:val="14"/>
  </w:num>
  <w:num w:numId="30">
    <w:abstractNumId w:val="33"/>
  </w:num>
  <w:num w:numId="31">
    <w:abstractNumId w:val="34"/>
  </w:num>
  <w:num w:numId="32">
    <w:abstractNumId w:val="8"/>
  </w:num>
  <w:num w:numId="33">
    <w:abstractNumId w:val="36"/>
  </w:num>
  <w:num w:numId="34">
    <w:abstractNumId w:val="42"/>
  </w:num>
  <w:num w:numId="35">
    <w:abstractNumId w:val="45"/>
  </w:num>
  <w:num w:numId="36">
    <w:abstractNumId w:val="44"/>
  </w:num>
  <w:num w:numId="37">
    <w:abstractNumId w:val="10"/>
  </w:num>
  <w:num w:numId="38">
    <w:abstractNumId w:val="37"/>
  </w:num>
  <w:num w:numId="39">
    <w:abstractNumId w:val="31"/>
  </w:num>
  <w:num w:numId="40">
    <w:abstractNumId w:val="27"/>
  </w:num>
  <w:num w:numId="41">
    <w:abstractNumId w:val="18"/>
  </w:num>
  <w:num w:numId="42">
    <w:abstractNumId w:val="11"/>
  </w:num>
  <w:num w:numId="43">
    <w:abstractNumId w:val="13"/>
  </w:num>
  <w:num w:numId="44">
    <w:abstractNumId w:val="26"/>
  </w:num>
  <w:num w:numId="45">
    <w:abstractNumId w:val="17"/>
  </w:num>
  <w:num w:numId="46">
    <w:abstractNumId w:val="4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95D"/>
    <w:rsid w:val="00000C70"/>
    <w:rsid w:val="00002BAC"/>
    <w:rsid w:val="00003C02"/>
    <w:rsid w:val="00004067"/>
    <w:rsid w:val="0000432A"/>
    <w:rsid w:val="00004DF5"/>
    <w:rsid w:val="00004E4F"/>
    <w:rsid w:val="00007646"/>
    <w:rsid w:val="00010882"/>
    <w:rsid w:val="00010A87"/>
    <w:rsid w:val="00011074"/>
    <w:rsid w:val="000111B1"/>
    <w:rsid w:val="0001261D"/>
    <w:rsid w:val="00012ED0"/>
    <w:rsid w:val="00014F10"/>
    <w:rsid w:val="00015F58"/>
    <w:rsid w:val="000200B1"/>
    <w:rsid w:val="00022AD0"/>
    <w:rsid w:val="0002323A"/>
    <w:rsid w:val="00023C38"/>
    <w:rsid w:val="0002415C"/>
    <w:rsid w:val="0002444C"/>
    <w:rsid w:val="00024B53"/>
    <w:rsid w:val="000251EC"/>
    <w:rsid w:val="0002576F"/>
    <w:rsid w:val="000259F6"/>
    <w:rsid w:val="00026F53"/>
    <w:rsid w:val="00027456"/>
    <w:rsid w:val="00027FA8"/>
    <w:rsid w:val="00027FE1"/>
    <w:rsid w:val="0003043A"/>
    <w:rsid w:val="00031018"/>
    <w:rsid w:val="00031472"/>
    <w:rsid w:val="00032204"/>
    <w:rsid w:val="00034142"/>
    <w:rsid w:val="00034B86"/>
    <w:rsid w:val="000355E7"/>
    <w:rsid w:val="00035CB8"/>
    <w:rsid w:val="000366CA"/>
    <w:rsid w:val="00036DCB"/>
    <w:rsid w:val="00037DBE"/>
    <w:rsid w:val="000409D3"/>
    <w:rsid w:val="0004140F"/>
    <w:rsid w:val="00041B71"/>
    <w:rsid w:val="00041BE1"/>
    <w:rsid w:val="00042C86"/>
    <w:rsid w:val="0004331C"/>
    <w:rsid w:val="00043F59"/>
    <w:rsid w:val="000449CC"/>
    <w:rsid w:val="00045059"/>
    <w:rsid w:val="00050F11"/>
    <w:rsid w:val="0005195D"/>
    <w:rsid w:val="000521DD"/>
    <w:rsid w:val="00052ADB"/>
    <w:rsid w:val="00053567"/>
    <w:rsid w:val="00054287"/>
    <w:rsid w:val="00054802"/>
    <w:rsid w:val="0005486E"/>
    <w:rsid w:val="00057253"/>
    <w:rsid w:val="00057ED3"/>
    <w:rsid w:val="000612C1"/>
    <w:rsid w:val="000647A5"/>
    <w:rsid w:val="000647DD"/>
    <w:rsid w:val="000657C0"/>
    <w:rsid w:val="000665C2"/>
    <w:rsid w:val="000667C7"/>
    <w:rsid w:val="00066B62"/>
    <w:rsid w:val="00066BFE"/>
    <w:rsid w:val="000672D0"/>
    <w:rsid w:val="00067333"/>
    <w:rsid w:val="00071351"/>
    <w:rsid w:val="00072343"/>
    <w:rsid w:val="00072BE4"/>
    <w:rsid w:val="00073361"/>
    <w:rsid w:val="00075EF8"/>
    <w:rsid w:val="000773A9"/>
    <w:rsid w:val="00077AE4"/>
    <w:rsid w:val="000811B9"/>
    <w:rsid w:val="00082028"/>
    <w:rsid w:val="000848F2"/>
    <w:rsid w:val="000852FC"/>
    <w:rsid w:val="00087DD4"/>
    <w:rsid w:val="0009007B"/>
    <w:rsid w:val="00090B9E"/>
    <w:rsid w:val="00090CDA"/>
    <w:rsid w:val="0009261A"/>
    <w:rsid w:val="00095901"/>
    <w:rsid w:val="00095B9B"/>
    <w:rsid w:val="00097A27"/>
    <w:rsid w:val="00097A9B"/>
    <w:rsid w:val="00097BC0"/>
    <w:rsid w:val="000A04F4"/>
    <w:rsid w:val="000A0636"/>
    <w:rsid w:val="000A0A6D"/>
    <w:rsid w:val="000A17FC"/>
    <w:rsid w:val="000A2523"/>
    <w:rsid w:val="000A26C1"/>
    <w:rsid w:val="000A2BE8"/>
    <w:rsid w:val="000A35F1"/>
    <w:rsid w:val="000A4890"/>
    <w:rsid w:val="000A5265"/>
    <w:rsid w:val="000A53F3"/>
    <w:rsid w:val="000B1C20"/>
    <w:rsid w:val="000B3969"/>
    <w:rsid w:val="000B3FE9"/>
    <w:rsid w:val="000B54A2"/>
    <w:rsid w:val="000B71C2"/>
    <w:rsid w:val="000B733E"/>
    <w:rsid w:val="000B7A37"/>
    <w:rsid w:val="000B7E40"/>
    <w:rsid w:val="000C29FB"/>
    <w:rsid w:val="000C2EE6"/>
    <w:rsid w:val="000C404F"/>
    <w:rsid w:val="000C4753"/>
    <w:rsid w:val="000C5118"/>
    <w:rsid w:val="000C7642"/>
    <w:rsid w:val="000D30DD"/>
    <w:rsid w:val="000D459E"/>
    <w:rsid w:val="000D6D2A"/>
    <w:rsid w:val="000E184F"/>
    <w:rsid w:val="000E2555"/>
    <w:rsid w:val="000E34D2"/>
    <w:rsid w:val="000E47DB"/>
    <w:rsid w:val="000E4E2C"/>
    <w:rsid w:val="000E5B5F"/>
    <w:rsid w:val="000E5EF5"/>
    <w:rsid w:val="000E6753"/>
    <w:rsid w:val="000E6A7E"/>
    <w:rsid w:val="000E6EAE"/>
    <w:rsid w:val="000E71C6"/>
    <w:rsid w:val="000E77D8"/>
    <w:rsid w:val="000E7DC9"/>
    <w:rsid w:val="000F0FF7"/>
    <w:rsid w:val="000F19F9"/>
    <w:rsid w:val="000F25FE"/>
    <w:rsid w:val="000F3C52"/>
    <w:rsid w:val="000F3EB8"/>
    <w:rsid w:val="000F5122"/>
    <w:rsid w:val="000F5D7E"/>
    <w:rsid w:val="000F5DD8"/>
    <w:rsid w:val="000F6C88"/>
    <w:rsid w:val="000F70E4"/>
    <w:rsid w:val="0010057D"/>
    <w:rsid w:val="0010112E"/>
    <w:rsid w:val="00102816"/>
    <w:rsid w:val="001032CC"/>
    <w:rsid w:val="00103426"/>
    <w:rsid w:val="00103F39"/>
    <w:rsid w:val="00105135"/>
    <w:rsid w:val="0010629C"/>
    <w:rsid w:val="00107327"/>
    <w:rsid w:val="001116C3"/>
    <w:rsid w:val="00114A2C"/>
    <w:rsid w:val="00115049"/>
    <w:rsid w:val="00115CD3"/>
    <w:rsid w:val="00116677"/>
    <w:rsid w:val="00116F81"/>
    <w:rsid w:val="00117748"/>
    <w:rsid w:val="001213D1"/>
    <w:rsid w:val="00122198"/>
    <w:rsid w:val="00122FF9"/>
    <w:rsid w:val="00123447"/>
    <w:rsid w:val="0012364B"/>
    <w:rsid w:val="001239C5"/>
    <w:rsid w:val="00123AC6"/>
    <w:rsid w:val="00123F93"/>
    <w:rsid w:val="00124945"/>
    <w:rsid w:val="0012595A"/>
    <w:rsid w:val="00125B1B"/>
    <w:rsid w:val="00125CD3"/>
    <w:rsid w:val="0012661F"/>
    <w:rsid w:val="001318B3"/>
    <w:rsid w:val="00132104"/>
    <w:rsid w:val="00132232"/>
    <w:rsid w:val="0013284E"/>
    <w:rsid w:val="00132A49"/>
    <w:rsid w:val="00133BD4"/>
    <w:rsid w:val="00134AC7"/>
    <w:rsid w:val="00134F37"/>
    <w:rsid w:val="00135301"/>
    <w:rsid w:val="00135447"/>
    <w:rsid w:val="00135917"/>
    <w:rsid w:val="00135AEB"/>
    <w:rsid w:val="00136DD6"/>
    <w:rsid w:val="00141D80"/>
    <w:rsid w:val="00142B3F"/>
    <w:rsid w:val="00142FDA"/>
    <w:rsid w:val="001431D2"/>
    <w:rsid w:val="00143220"/>
    <w:rsid w:val="00143C65"/>
    <w:rsid w:val="00144106"/>
    <w:rsid w:val="00144399"/>
    <w:rsid w:val="001445E7"/>
    <w:rsid w:val="00145BFB"/>
    <w:rsid w:val="0014695B"/>
    <w:rsid w:val="00146D00"/>
    <w:rsid w:val="00146E66"/>
    <w:rsid w:val="00146EA7"/>
    <w:rsid w:val="00146F47"/>
    <w:rsid w:val="001474BB"/>
    <w:rsid w:val="00150AE5"/>
    <w:rsid w:val="00151699"/>
    <w:rsid w:val="00151FC6"/>
    <w:rsid w:val="00152873"/>
    <w:rsid w:val="00152AE8"/>
    <w:rsid w:val="0015366B"/>
    <w:rsid w:val="00156EBD"/>
    <w:rsid w:val="00157743"/>
    <w:rsid w:val="0015774F"/>
    <w:rsid w:val="001578BA"/>
    <w:rsid w:val="001603BA"/>
    <w:rsid w:val="00160C34"/>
    <w:rsid w:val="001610B8"/>
    <w:rsid w:val="001637F5"/>
    <w:rsid w:val="00170D4E"/>
    <w:rsid w:val="001719B0"/>
    <w:rsid w:val="00171AF7"/>
    <w:rsid w:val="00173A3C"/>
    <w:rsid w:val="00174B2C"/>
    <w:rsid w:val="00177505"/>
    <w:rsid w:val="00180C7B"/>
    <w:rsid w:val="00181528"/>
    <w:rsid w:val="00181710"/>
    <w:rsid w:val="001824AF"/>
    <w:rsid w:val="00182509"/>
    <w:rsid w:val="00182BFA"/>
    <w:rsid w:val="00183FE9"/>
    <w:rsid w:val="00184795"/>
    <w:rsid w:val="00184921"/>
    <w:rsid w:val="00185121"/>
    <w:rsid w:val="001855FB"/>
    <w:rsid w:val="001866BA"/>
    <w:rsid w:val="00192599"/>
    <w:rsid w:val="001929A3"/>
    <w:rsid w:val="00193441"/>
    <w:rsid w:val="00193D86"/>
    <w:rsid w:val="00193DF1"/>
    <w:rsid w:val="00195432"/>
    <w:rsid w:val="0019562E"/>
    <w:rsid w:val="00196CEE"/>
    <w:rsid w:val="00197031"/>
    <w:rsid w:val="00197078"/>
    <w:rsid w:val="001A07D8"/>
    <w:rsid w:val="001A1233"/>
    <w:rsid w:val="001A26D5"/>
    <w:rsid w:val="001A2F9B"/>
    <w:rsid w:val="001A3A77"/>
    <w:rsid w:val="001A4AE7"/>
    <w:rsid w:val="001A4C36"/>
    <w:rsid w:val="001A51C6"/>
    <w:rsid w:val="001A6F77"/>
    <w:rsid w:val="001A72A0"/>
    <w:rsid w:val="001A7442"/>
    <w:rsid w:val="001A7CA9"/>
    <w:rsid w:val="001B07DB"/>
    <w:rsid w:val="001B09F9"/>
    <w:rsid w:val="001B0B72"/>
    <w:rsid w:val="001B26BA"/>
    <w:rsid w:val="001B2A0D"/>
    <w:rsid w:val="001B2F56"/>
    <w:rsid w:val="001B306B"/>
    <w:rsid w:val="001B3934"/>
    <w:rsid w:val="001B4133"/>
    <w:rsid w:val="001B58DF"/>
    <w:rsid w:val="001B5DCD"/>
    <w:rsid w:val="001B608B"/>
    <w:rsid w:val="001B639F"/>
    <w:rsid w:val="001B6588"/>
    <w:rsid w:val="001C33BD"/>
    <w:rsid w:val="001C35F6"/>
    <w:rsid w:val="001C4BB9"/>
    <w:rsid w:val="001C6115"/>
    <w:rsid w:val="001D0734"/>
    <w:rsid w:val="001D147A"/>
    <w:rsid w:val="001D2310"/>
    <w:rsid w:val="001D239E"/>
    <w:rsid w:val="001D2970"/>
    <w:rsid w:val="001D4564"/>
    <w:rsid w:val="001D6450"/>
    <w:rsid w:val="001E082F"/>
    <w:rsid w:val="001E08CB"/>
    <w:rsid w:val="001E0BE6"/>
    <w:rsid w:val="001E0CE9"/>
    <w:rsid w:val="001E1511"/>
    <w:rsid w:val="001E22E6"/>
    <w:rsid w:val="001E58AB"/>
    <w:rsid w:val="001E72EB"/>
    <w:rsid w:val="001E7955"/>
    <w:rsid w:val="001F0D8F"/>
    <w:rsid w:val="001F167E"/>
    <w:rsid w:val="001F188B"/>
    <w:rsid w:val="001F3D99"/>
    <w:rsid w:val="001F45E4"/>
    <w:rsid w:val="001F470D"/>
    <w:rsid w:val="001F47A8"/>
    <w:rsid w:val="001F5BC4"/>
    <w:rsid w:val="001F63EE"/>
    <w:rsid w:val="001F6AE5"/>
    <w:rsid w:val="0020286A"/>
    <w:rsid w:val="002063C7"/>
    <w:rsid w:val="00206991"/>
    <w:rsid w:val="00206C84"/>
    <w:rsid w:val="00207C87"/>
    <w:rsid w:val="00207C8C"/>
    <w:rsid w:val="00211601"/>
    <w:rsid w:val="002132BA"/>
    <w:rsid w:val="00214935"/>
    <w:rsid w:val="00214D52"/>
    <w:rsid w:val="002159B0"/>
    <w:rsid w:val="002161DF"/>
    <w:rsid w:val="00220EE6"/>
    <w:rsid w:val="002210BA"/>
    <w:rsid w:val="002218E9"/>
    <w:rsid w:val="00222045"/>
    <w:rsid w:val="00223A1D"/>
    <w:rsid w:val="0022491D"/>
    <w:rsid w:val="00225C35"/>
    <w:rsid w:val="00226AAC"/>
    <w:rsid w:val="0022739E"/>
    <w:rsid w:val="002300D0"/>
    <w:rsid w:val="00230311"/>
    <w:rsid w:val="0023057C"/>
    <w:rsid w:val="0023116E"/>
    <w:rsid w:val="0023195C"/>
    <w:rsid w:val="00232E8C"/>
    <w:rsid w:val="002346AB"/>
    <w:rsid w:val="00234F71"/>
    <w:rsid w:val="00235845"/>
    <w:rsid w:val="00235ACF"/>
    <w:rsid w:val="002370E6"/>
    <w:rsid w:val="00237747"/>
    <w:rsid w:val="00237A78"/>
    <w:rsid w:val="00237F0A"/>
    <w:rsid w:val="002402C0"/>
    <w:rsid w:val="00240338"/>
    <w:rsid w:val="00240DB2"/>
    <w:rsid w:val="00242853"/>
    <w:rsid w:val="002435D8"/>
    <w:rsid w:val="00245EC9"/>
    <w:rsid w:val="0024601A"/>
    <w:rsid w:val="002471CA"/>
    <w:rsid w:val="0024770E"/>
    <w:rsid w:val="00250393"/>
    <w:rsid w:val="00251ED5"/>
    <w:rsid w:val="00251FBE"/>
    <w:rsid w:val="00252680"/>
    <w:rsid w:val="002531C3"/>
    <w:rsid w:val="002533B7"/>
    <w:rsid w:val="002546D5"/>
    <w:rsid w:val="002571CB"/>
    <w:rsid w:val="00257F5E"/>
    <w:rsid w:val="0026022E"/>
    <w:rsid w:val="002607E7"/>
    <w:rsid w:val="0026256E"/>
    <w:rsid w:val="002630AF"/>
    <w:rsid w:val="00264E69"/>
    <w:rsid w:val="00265D47"/>
    <w:rsid w:val="00271B34"/>
    <w:rsid w:val="002724C1"/>
    <w:rsid w:val="0027263A"/>
    <w:rsid w:val="00272A07"/>
    <w:rsid w:val="00273BF7"/>
    <w:rsid w:val="00273E43"/>
    <w:rsid w:val="00274414"/>
    <w:rsid w:val="00274E4B"/>
    <w:rsid w:val="00275297"/>
    <w:rsid w:val="00275A91"/>
    <w:rsid w:val="00277881"/>
    <w:rsid w:val="00280A21"/>
    <w:rsid w:val="0028252E"/>
    <w:rsid w:val="0028354E"/>
    <w:rsid w:val="0028585C"/>
    <w:rsid w:val="00286048"/>
    <w:rsid w:val="0028703A"/>
    <w:rsid w:val="002872B7"/>
    <w:rsid w:val="00287F69"/>
    <w:rsid w:val="00290615"/>
    <w:rsid w:val="0029093F"/>
    <w:rsid w:val="00290B74"/>
    <w:rsid w:val="00291112"/>
    <w:rsid w:val="00291752"/>
    <w:rsid w:val="00292A40"/>
    <w:rsid w:val="002936A0"/>
    <w:rsid w:val="00294EF9"/>
    <w:rsid w:val="002950C8"/>
    <w:rsid w:val="00296BA2"/>
    <w:rsid w:val="00297F24"/>
    <w:rsid w:val="002A03F9"/>
    <w:rsid w:val="002A107E"/>
    <w:rsid w:val="002A1465"/>
    <w:rsid w:val="002A14DF"/>
    <w:rsid w:val="002A150D"/>
    <w:rsid w:val="002A1D99"/>
    <w:rsid w:val="002A2551"/>
    <w:rsid w:val="002A4297"/>
    <w:rsid w:val="002A4834"/>
    <w:rsid w:val="002A4D7F"/>
    <w:rsid w:val="002A4EC4"/>
    <w:rsid w:val="002B1021"/>
    <w:rsid w:val="002B13FD"/>
    <w:rsid w:val="002B154F"/>
    <w:rsid w:val="002B1664"/>
    <w:rsid w:val="002B1AF2"/>
    <w:rsid w:val="002B22D0"/>
    <w:rsid w:val="002B4B70"/>
    <w:rsid w:val="002B5662"/>
    <w:rsid w:val="002B5759"/>
    <w:rsid w:val="002B7067"/>
    <w:rsid w:val="002C0DA1"/>
    <w:rsid w:val="002C1700"/>
    <w:rsid w:val="002C26E5"/>
    <w:rsid w:val="002C285E"/>
    <w:rsid w:val="002C45F0"/>
    <w:rsid w:val="002C647F"/>
    <w:rsid w:val="002C69CF"/>
    <w:rsid w:val="002C76D4"/>
    <w:rsid w:val="002C7B60"/>
    <w:rsid w:val="002D070E"/>
    <w:rsid w:val="002D1E58"/>
    <w:rsid w:val="002D3DC3"/>
    <w:rsid w:val="002D44A9"/>
    <w:rsid w:val="002D7137"/>
    <w:rsid w:val="002D725D"/>
    <w:rsid w:val="002D77BF"/>
    <w:rsid w:val="002D7EA4"/>
    <w:rsid w:val="002D7F8A"/>
    <w:rsid w:val="002E06C7"/>
    <w:rsid w:val="002E3C0D"/>
    <w:rsid w:val="002E4F8F"/>
    <w:rsid w:val="002E5BB1"/>
    <w:rsid w:val="002E6CAD"/>
    <w:rsid w:val="002E70A6"/>
    <w:rsid w:val="002E7749"/>
    <w:rsid w:val="002F02EC"/>
    <w:rsid w:val="002F19D7"/>
    <w:rsid w:val="002F2994"/>
    <w:rsid w:val="002F318A"/>
    <w:rsid w:val="002F3DA6"/>
    <w:rsid w:val="002F3F74"/>
    <w:rsid w:val="002F4C7F"/>
    <w:rsid w:val="002F6686"/>
    <w:rsid w:val="002F6A91"/>
    <w:rsid w:val="0030070E"/>
    <w:rsid w:val="00301FE1"/>
    <w:rsid w:val="00302E0B"/>
    <w:rsid w:val="00303375"/>
    <w:rsid w:val="00303DDF"/>
    <w:rsid w:val="00303DFA"/>
    <w:rsid w:val="0030469E"/>
    <w:rsid w:val="003057A6"/>
    <w:rsid w:val="00307EE9"/>
    <w:rsid w:val="0031082C"/>
    <w:rsid w:val="00310BAC"/>
    <w:rsid w:val="00311314"/>
    <w:rsid w:val="003117C4"/>
    <w:rsid w:val="00311971"/>
    <w:rsid w:val="003147B2"/>
    <w:rsid w:val="00316662"/>
    <w:rsid w:val="0031686E"/>
    <w:rsid w:val="003201FE"/>
    <w:rsid w:val="00320459"/>
    <w:rsid w:val="00321097"/>
    <w:rsid w:val="0032139B"/>
    <w:rsid w:val="0032157B"/>
    <w:rsid w:val="00322DBF"/>
    <w:rsid w:val="003237FA"/>
    <w:rsid w:val="00323BF6"/>
    <w:rsid w:val="00323C6E"/>
    <w:rsid w:val="00324F92"/>
    <w:rsid w:val="003265D6"/>
    <w:rsid w:val="00326718"/>
    <w:rsid w:val="0033073A"/>
    <w:rsid w:val="003309F0"/>
    <w:rsid w:val="0033205F"/>
    <w:rsid w:val="003326CE"/>
    <w:rsid w:val="00333790"/>
    <w:rsid w:val="00333965"/>
    <w:rsid w:val="00334CD1"/>
    <w:rsid w:val="0033562C"/>
    <w:rsid w:val="00335A9E"/>
    <w:rsid w:val="0033602A"/>
    <w:rsid w:val="0033612D"/>
    <w:rsid w:val="003361C5"/>
    <w:rsid w:val="00337F08"/>
    <w:rsid w:val="00340899"/>
    <w:rsid w:val="0034205C"/>
    <w:rsid w:val="003432E1"/>
    <w:rsid w:val="0034379A"/>
    <w:rsid w:val="003440C6"/>
    <w:rsid w:val="00344A5F"/>
    <w:rsid w:val="00345B2F"/>
    <w:rsid w:val="00346E8D"/>
    <w:rsid w:val="00347010"/>
    <w:rsid w:val="003471E4"/>
    <w:rsid w:val="00347E7C"/>
    <w:rsid w:val="00347F9E"/>
    <w:rsid w:val="0035088F"/>
    <w:rsid w:val="00354764"/>
    <w:rsid w:val="00354895"/>
    <w:rsid w:val="00355255"/>
    <w:rsid w:val="00355696"/>
    <w:rsid w:val="003564BF"/>
    <w:rsid w:val="00357F28"/>
    <w:rsid w:val="003602B1"/>
    <w:rsid w:val="003625A8"/>
    <w:rsid w:val="003629C1"/>
    <w:rsid w:val="0036341D"/>
    <w:rsid w:val="00363982"/>
    <w:rsid w:val="00364020"/>
    <w:rsid w:val="003643F5"/>
    <w:rsid w:val="003647CE"/>
    <w:rsid w:val="00364D48"/>
    <w:rsid w:val="003653F9"/>
    <w:rsid w:val="00366006"/>
    <w:rsid w:val="00366087"/>
    <w:rsid w:val="00366FA3"/>
    <w:rsid w:val="003673C2"/>
    <w:rsid w:val="00367DBD"/>
    <w:rsid w:val="00367EC8"/>
    <w:rsid w:val="00370398"/>
    <w:rsid w:val="00370F8F"/>
    <w:rsid w:val="00371472"/>
    <w:rsid w:val="00371489"/>
    <w:rsid w:val="0037172E"/>
    <w:rsid w:val="00371F25"/>
    <w:rsid w:val="003722D9"/>
    <w:rsid w:val="00373688"/>
    <w:rsid w:val="00373E68"/>
    <w:rsid w:val="00374A01"/>
    <w:rsid w:val="00374B8D"/>
    <w:rsid w:val="003752B8"/>
    <w:rsid w:val="00375C27"/>
    <w:rsid w:val="003761C9"/>
    <w:rsid w:val="003765F1"/>
    <w:rsid w:val="003778F5"/>
    <w:rsid w:val="00380ADC"/>
    <w:rsid w:val="00380F2E"/>
    <w:rsid w:val="0038148B"/>
    <w:rsid w:val="0038197E"/>
    <w:rsid w:val="00382CB0"/>
    <w:rsid w:val="00383916"/>
    <w:rsid w:val="00384578"/>
    <w:rsid w:val="0038497B"/>
    <w:rsid w:val="00384E72"/>
    <w:rsid w:val="00385F6D"/>
    <w:rsid w:val="0038796E"/>
    <w:rsid w:val="00390BBB"/>
    <w:rsid w:val="00391B2B"/>
    <w:rsid w:val="003937EE"/>
    <w:rsid w:val="0039475C"/>
    <w:rsid w:val="00394DA6"/>
    <w:rsid w:val="00394DFA"/>
    <w:rsid w:val="00395A80"/>
    <w:rsid w:val="00395AAC"/>
    <w:rsid w:val="003A19D7"/>
    <w:rsid w:val="003A1B35"/>
    <w:rsid w:val="003A2286"/>
    <w:rsid w:val="003A240D"/>
    <w:rsid w:val="003A2438"/>
    <w:rsid w:val="003A2F68"/>
    <w:rsid w:val="003A3682"/>
    <w:rsid w:val="003A5DF4"/>
    <w:rsid w:val="003A6709"/>
    <w:rsid w:val="003B1079"/>
    <w:rsid w:val="003B2C03"/>
    <w:rsid w:val="003B2D4D"/>
    <w:rsid w:val="003B2E0F"/>
    <w:rsid w:val="003B2E73"/>
    <w:rsid w:val="003B307A"/>
    <w:rsid w:val="003B3CEA"/>
    <w:rsid w:val="003B56E1"/>
    <w:rsid w:val="003B573A"/>
    <w:rsid w:val="003B7E03"/>
    <w:rsid w:val="003C262D"/>
    <w:rsid w:val="003C4C49"/>
    <w:rsid w:val="003C5F8D"/>
    <w:rsid w:val="003C6333"/>
    <w:rsid w:val="003C7557"/>
    <w:rsid w:val="003C7610"/>
    <w:rsid w:val="003C781B"/>
    <w:rsid w:val="003C7F8E"/>
    <w:rsid w:val="003D08D2"/>
    <w:rsid w:val="003D2B32"/>
    <w:rsid w:val="003D47E8"/>
    <w:rsid w:val="003D6853"/>
    <w:rsid w:val="003D7967"/>
    <w:rsid w:val="003E25D9"/>
    <w:rsid w:val="003E38F6"/>
    <w:rsid w:val="003E3DEA"/>
    <w:rsid w:val="003E4122"/>
    <w:rsid w:val="003E478F"/>
    <w:rsid w:val="003E4C51"/>
    <w:rsid w:val="003E5923"/>
    <w:rsid w:val="003E6065"/>
    <w:rsid w:val="003E6895"/>
    <w:rsid w:val="003E75D7"/>
    <w:rsid w:val="003E7D14"/>
    <w:rsid w:val="003F054A"/>
    <w:rsid w:val="003F0598"/>
    <w:rsid w:val="003F24D1"/>
    <w:rsid w:val="003F3C76"/>
    <w:rsid w:val="003F4865"/>
    <w:rsid w:val="003F5E9E"/>
    <w:rsid w:val="003F61B6"/>
    <w:rsid w:val="003F62B8"/>
    <w:rsid w:val="003F6A10"/>
    <w:rsid w:val="003F6FA0"/>
    <w:rsid w:val="003F72CE"/>
    <w:rsid w:val="004049A0"/>
    <w:rsid w:val="00404E28"/>
    <w:rsid w:val="004052D3"/>
    <w:rsid w:val="004054D7"/>
    <w:rsid w:val="004060B6"/>
    <w:rsid w:val="004064A3"/>
    <w:rsid w:val="00406A3E"/>
    <w:rsid w:val="0040721D"/>
    <w:rsid w:val="004074E0"/>
    <w:rsid w:val="0040775C"/>
    <w:rsid w:val="00407A47"/>
    <w:rsid w:val="00411794"/>
    <w:rsid w:val="004125AB"/>
    <w:rsid w:val="00415362"/>
    <w:rsid w:val="00415864"/>
    <w:rsid w:val="004160E2"/>
    <w:rsid w:val="00416A89"/>
    <w:rsid w:val="00421122"/>
    <w:rsid w:val="00421ED8"/>
    <w:rsid w:val="00422646"/>
    <w:rsid w:val="00423774"/>
    <w:rsid w:val="00424A91"/>
    <w:rsid w:val="00425158"/>
    <w:rsid w:val="00425315"/>
    <w:rsid w:val="00427747"/>
    <w:rsid w:val="0043051F"/>
    <w:rsid w:val="004308BD"/>
    <w:rsid w:val="00430C00"/>
    <w:rsid w:val="00430E77"/>
    <w:rsid w:val="00431149"/>
    <w:rsid w:val="00431655"/>
    <w:rsid w:val="00431DB5"/>
    <w:rsid w:val="00432D40"/>
    <w:rsid w:val="00433294"/>
    <w:rsid w:val="00433929"/>
    <w:rsid w:val="00434539"/>
    <w:rsid w:val="004346C4"/>
    <w:rsid w:val="00434B85"/>
    <w:rsid w:val="00434D62"/>
    <w:rsid w:val="004354B8"/>
    <w:rsid w:val="00435525"/>
    <w:rsid w:val="004357BD"/>
    <w:rsid w:val="00442996"/>
    <w:rsid w:val="00443253"/>
    <w:rsid w:val="004437AC"/>
    <w:rsid w:val="004441E7"/>
    <w:rsid w:val="004467DD"/>
    <w:rsid w:val="004468D1"/>
    <w:rsid w:val="004469B0"/>
    <w:rsid w:val="00447701"/>
    <w:rsid w:val="004517E5"/>
    <w:rsid w:val="00451D45"/>
    <w:rsid w:val="00452262"/>
    <w:rsid w:val="00452391"/>
    <w:rsid w:val="00453044"/>
    <w:rsid w:val="00453167"/>
    <w:rsid w:val="004532B2"/>
    <w:rsid w:val="004544D9"/>
    <w:rsid w:val="00454E46"/>
    <w:rsid w:val="004560BE"/>
    <w:rsid w:val="00456208"/>
    <w:rsid w:val="00457EA9"/>
    <w:rsid w:val="00460432"/>
    <w:rsid w:val="00460ECD"/>
    <w:rsid w:val="004630F0"/>
    <w:rsid w:val="00463C59"/>
    <w:rsid w:val="004644FB"/>
    <w:rsid w:val="00464CA4"/>
    <w:rsid w:val="00465B21"/>
    <w:rsid w:val="004708D2"/>
    <w:rsid w:val="004714AC"/>
    <w:rsid w:val="004729FA"/>
    <w:rsid w:val="00472B43"/>
    <w:rsid w:val="00473A3E"/>
    <w:rsid w:val="00474746"/>
    <w:rsid w:val="00474B33"/>
    <w:rsid w:val="00475B99"/>
    <w:rsid w:val="00475D09"/>
    <w:rsid w:val="00481974"/>
    <w:rsid w:val="00482178"/>
    <w:rsid w:val="00482526"/>
    <w:rsid w:val="00483D00"/>
    <w:rsid w:val="00485097"/>
    <w:rsid w:val="00485D0D"/>
    <w:rsid w:val="004862CA"/>
    <w:rsid w:val="00486508"/>
    <w:rsid w:val="004877A9"/>
    <w:rsid w:val="004902F7"/>
    <w:rsid w:val="00490473"/>
    <w:rsid w:val="00490DD9"/>
    <w:rsid w:val="00491A6D"/>
    <w:rsid w:val="00491DAA"/>
    <w:rsid w:val="00491E5B"/>
    <w:rsid w:val="004921C5"/>
    <w:rsid w:val="00492D09"/>
    <w:rsid w:val="004957FD"/>
    <w:rsid w:val="00496698"/>
    <w:rsid w:val="004A14EF"/>
    <w:rsid w:val="004A1A55"/>
    <w:rsid w:val="004A1EB8"/>
    <w:rsid w:val="004A2E2F"/>
    <w:rsid w:val="004A3430"/>
    <w:rsid w:val="004A419A"/>
    <w:rsid w:val="004A5466"/>
    <w:rsid w:val="004A5E63"/>
    <w:rsid w:val="004A6EFA"/>
    <w:rsid w:val="004A7EF6"/>
    <w:rsid w:val="004B39FF"/>
    <w:rsid w:val="004B43A6"/>
    <w:rsid w:val="004B6433"/>
    <w:rsid w:val="004B6A07"/>
    <w:rsid w:val="004B748B"/>
    <w:rsid w:val="004C0BAD"/>
    <w:rsid w:val="004C0E61"/>
    <w:rsid w:val="004C106C"/>
    <w:rsid w:val="004C26F1"/>
    <w:rsid w:val="004C426E"/>
    <w:rsid w:val="004C466B"/>
    <w:rsid w:val="004C4903"/>
    <w:rsid w:val="004C4914"/>
    <w:rsid w:val="004C4B30"/>
    <w:rsid w:val="004C52E0"/>
    <w:rsid w:val="004C5D8F"/>
    <w:rsid w:val="004C7455"/>
    <w:rsid w:val="004C7CD4"/>
    <w:rsid w:val="004D133B"/>
    <w:rsid w:val="004D2000"/>
    <w:rsid w:val="004D2CEB"/>
    <w:rsid w:val="004D3D49"/>
    <w:rsid w:val="004D411A"/>
    <w:rsid w:val="004D4DB1"/>
    <w:rsid w:val="004D5681"/>
    <w:rsid w:val="004D77EE"/>
    <w:rsid w:val="004E0F59"/>
    <w:rsid w:val="004E1453"/>
    <w:rsid w:val="004E1CF4"/>
    <w:rsid w:val="004E1E88"/>
    <w:rsid w:val="004E1EB2"/>
    <w:rsid w:val="004E2872"/>
    <w:rsid w:val="004E2C33"/>
    <w:rsid w:val="004E3A6C"/>
    <w:rsid w:val="004E3E1A"/>
    <w:rsid w:val="004E7A82"/>
    <w:rsid w:val="004F0BF2"/>
    <w:rsid w:val="004F2AB0"/>
    <w:rsid w:val="004F2FAB"/>
    <w:rsid w:val="004F33B4"/>
    <w:rsid w:val="004F4D38"/>
    <w:rsid w:val="004F5447"/>
    <w:rsid w:val="00500508"/>
    <w:rsid w:val="005006B7"/>
    <w:rsid w:val="005014F2"/>
    <w:rsid w:val="005015AE"/>
    <w:rsid w:val="00501AED"/>
    <w:rsid w:val="005020D9"/>
    <w:rsid w:val="00503FBE"/>
    <w:rsid w:val="00503FC7"/>
    <w:rsid w:val="00504880"/>
    <w:rsid w:val="00504C8A"/>
    <w:rsid w:val="005061E9"/>
    <w:rsid w:val="005101F1"/>
    <w:rsid w:val="00510750"/>
    <w:rsid w:val="0051316E"/>
    <w:rsid w:val="0051336A"/>
    <w:rsid w:val="00513B4A"/>
    <w:rsid w:val="00514DC3"/>
    <w:rsid w:val="00517544"/>
    <w:rsid w:val="00521257"/>
    <w:rsid w:val="00521B62"/>
    <w:rsid w:val="00522344"/>
    <w:rsid w:val="00522813"/>
    <w:rsid w:val="005229AE"/>
    <w:rsid w:val="00522A3C"/>
    <w:rsid w:val="0052408F"/>
    <w:rsid w:val="005273B3"/>
    <w:rsid w:val="00527C96"/>
    <w:rsid w:val="00530761"/>
    <w:rsid w:val="00530D3C"/>
    <w:rsid w:val="00530F1C"/>
    <w:rsid w:val="00531BAD"/>
    <w:rsid w:val="00531DCE"/>
    <w:rsid w:val="0053259B"/>
    <w:rsid w:val="00533EF7"/>
    <w:rsid w:val="00534655"/>
    <w:rsid w:val="00534B0D"/>
    <w:rsid w:val="00536A19"/>
    <w:rsid w:val="00536ABE"/>
    <w:rsid w:val="00537E10"/>
    <w:rsid w:val="005401A6"/>
    <w:rsid w:val="005402C1"/>
    <w:rsid w:val="00540CE0"/>
    <w:rsid w:val="0054132B"/>
    <w:rsid w:val="005428EB"/>
    <w:rsid w:val="00542FFB"/>
    <w:rsid w:val="00544A7C"/>
    <w:rsid w:val="0054550D"/>
    <w:rsid w:val="005460D2"/>
    <w:rsid w:val="00546A6D"/>
    <w:rsid w:val="00547AEE"/>
    <w:rsid w:val="00551982"/>
    <w:rsid w:val="00552931"/>
    <w:rsid w:val="00553EE1"/>
    <w:rsid w:val="00554D13"/>
    <w:rsid w:val="0055564F"/>
    <w:rsid w:val="005574FD"/>
    <w:rsid w:val="00560166"/>
    <w:rsid w:val="00560628"/>
    <w:rsid w:val="00560963"/>
    <w:rsid w:val="005632ED"/>
    <w:rsid w:val="00563770"/>
    <w:rsid w:val="00563AC3"/>
    <w:rsid w:val="00564685"/>
    <w:rsid w:val="005649D3"/>
    <w:rsid w:val="00564B6A"/>
    <w:rsid w:val="0056514D"/>
    <w:rsid w:val="00566C6A"/>
    <w:rsid w:val="00566D52"/>
    <w:rsid w:val="00571AAD"/>
    <w:rsid w:val="00572D3F"/>
    <w:rsid w:val="00572DD3"/>
    <w:rsid w:val="00574DF5"/>
    <w:rsid w:val="00575B34"/>
    <w:rsid w:val="00577103"/>
    <w:rsid w:val="0058022B"/>
    <w:rsid w:val="00580C51"/>
    <w:rsid w:val="00581213"/>
    <w:rsid w:val="0058210F"/>
    <w:rsid w:val="00582128"/>
    <w:rsid w:val="00582371"/>
    <w:rsid w:val="00582938"/>
    <w:rsid w:val="00582A7F"/>
    <w:rsid w:val="005837BD"/>
    <w:rsid w:val="00583BAB"/>
    <w:rsid w:val="00584543"/>
    <w:rsid w:val="0058486F"/>
    <w:rsid w:val="00584A32"/>
    <w:rsid w:val="005865B3"/>
    <w:rsid w:val="005866FD"/>
    <w:rsid w:val="0058690A"/>
    <w:rsid w:val="00590058"/>
    <w:rsid w:val="005912A9"/>
    <w:rsid w:val="005919A5"/>
    <w:rsid w:val="0059315C"/>
    <w:rsid w:val="00593C25"/>
    <w:rsid w:val="00594218"/>
    <w:rsid w:val="0059537D"/>
    <w:rsid w:val="00596BB1"/>
    <w:rsid w:val="00597C6B"/>
    <w:rsid w:val="005A007D"/>
    <w:rsid w:val="005A1762"/>
    <w:rsid w:val="005A1995"/>
    <w:rsid w:val="005A1B60"/>
    <w:rsid w:val="005A35A3"/>
    <w:rsid w:val="005A3825"/>
    <w:rsid w:val="005A4CCA"/>
    <w:rsid w:val="005A4E76"/>
    <w:rsid w:val="005A5420"/>
    <w:rsid w:val="005A5554"/>
    <w:rsid w:val="005A7126"/>
    <w:rsid w:val="005A75D8"/>
    <w:rsid w:val="005A7648"/>
    <w:rsid w:val="005B1958"/>
    <w:rsid w:val="005B2E27"/>
    <w:rsid w:val="005B3981"/>
    <w:rsid w:val="005B3ECA"/>
    <w:rsid w:val="005B4684"/>
    <w:rsid w:val="005B4B8D"/>
    <w:rsid w:val="005B50FA"/>
    <w:rsid w:val="005B53A3"/>
    <w:rsid w:val="005B5628"/>
    <w:rsid w:val="005B7B09"/>
    <w:rsid w:val="005B7D27"/>
    <w:rsid w:val="005C0290"/>
    <w:rsid w:val="005C0B54"/>
    <w:rsid w:val="005C1A54"/>
    <w:rsid w:val="005C1F08"/>
    <w:rsid w:val="005C22D4"/>
    <w:rsid w:val="005C25C1"/>
    <w:rsid w:val="005C2A97"/>
    <w:rsid w:val="005C4E2D"/>
    <w:rsid w:val="005C6081"/>
    <w:rsid w:val="005C6622"/>
    <w:rsid w:val="005C69F4"/>
    <w:rsid w:val="005C6F58"/>
    <w:rsid w:val="005C70C2"/>
    <w:rsid w:val="005C7766"/>
    <w:rsid w:val="005C7F55"/>
    <w:rsid w:val="005D1C17"/>
    <w:rsid w:val="005D1DCD"/>
    <w:rsid w:val="005D225D"/>
    <w:rsid w:val="005D45C8"/>
    <w:rsid w:val="005D4845"/>
    <w:rsid w:val="005D49CA"/>
    <w:rsid w:val="005D524E"/>
    <w:rsid w:val="005D7E6F"/>
    <w:rsid w:val="005E025C"/>
    <w:rsid w:val="005E2035"/>
    <w:rsid w:val="005E2096"/>
    <w:rsid w:val="005E212F"/>
    <w:rsid w:val="005E2133"/>
    <w:rsid w:val="005E38F6"/>
    <w:rsid w:val="005E458B"/>
    <w:rsid w:val="005E4D29"/>
    <w:rsid w:val="005E59CB"/>
    <w:rsid w:val="005E7471"/>
    <w:rsid w:val="005E7AF3"/>
    <w:rsid w:val="005E7D8D"/>
    <w:rsid w:val="005F02DE"/>
    <w:rsid w:val="005F07C4"/>
    <w:rsid w:val="005F1483"/>
    <w:rsid w:val="005F1AAE"/>
    <w:rsid w:val="005F1F27"/>
    <w:rsid w:val="005F287A"/>
    <w:rsid w:val="005F34B7"/>
    <w:rsid w:val="005F392A"/>
    <w:rsid w:val="005F5A19"/>
    <w:rsid w:val="005F5BCD"/>
    <w:rsid w:val="005F5F55"/>
    <w:rsid w:val="005F6928"/>
    <w:rsid w:val="005F6C4C"/>
    <w:rsid w:val="00600666"/>
    <w:rsid w:val="006012C6"/>
    <w:rsid w:val="0060209E"/>
    <w:rsid w:val="006025BF"/>
    <w:rsid w:val="00602D7E"/>
    <w:rsid w:val="0060342B"/>
    <w:rsid w:val="006042D5"/>
    <w:rsid w:val="00604C81"/>
    <w:rsid w:val="006052BD"/>
    <w:rsid w:val="00605940"/>
    <w:rsid w:val="00605E6B"/>
    <w:rsid w:val="00611A6E"/>
    <w:rsid w:val="00616252"/>
    <w:rsid w:val="006171AD"/>
    <w:rsid w:val="00617A7B"/>
    <w:rsid w:val="00620B35"/>
    <w:rsid w:val="0062146E"/>
    <w:rsid w:val="006214FA"/>
    <w:rsid w:val="006219D7"/>
    <w:rsid w:val="00622C2C"/>
    <w:rsid w:val="00623139"/>
    <w:rsid w:val="00623CD4"/>
    <w:rsid w:val="00623D64"/>
    <w:rsid w:val="0062488E"/>
    <w:rsid w:val="00626B24"/>
    <w:rsid w:val="006270A8"/>
    <w:rsid w:val="00627A89"/>
    <w:rsid w:val="00630178"/>
    <w:rsid w:val="00631349"/>
    <w:rsid w:val="00631FB6"/>
    <w:rsid w:val="00632B25"/>
    <w:rsid w:val="006331F8"/>
    <w:rsid w:val="006334DF"/>
    <w:rsid w:val="00634AAC"/>
    <w:rsid w:val="00634B71"/>
    <w:rsid w:val="006354A4"/>
    <w:rsid w:val="00635CCC"/>
    <w:rsid w:val="00636252"/>
    <w:rsid w:val="0063669F"/>
    <w:rsid w:val="00640544"/>
    <w:rsid w:val="006417C3"/>
    <w:rsid w:val="00641DDE"/>
    <w:rsid w:val="0064297A"/>
    <w:rsid w:val="00644768"/>
    <w:rsid w:val="00644ADE"/>
    <w:rsid w:val="006452AA"/>
    <w:rsid w:val="00645B66"/>
    <w:rsid w:val="00650D34"/>
    <w:rsid w:val="00651F93"/>
    <w:rsid w:val="00653123"/>
    <w:rsid w:val="006542E8"/>
    <w:rsid w:val="00654673"/>
    <w:rsid w:val="00654AC9"/>
    <w:rsid w:val="0065664F"/>
    <w:rsid w:val="00656852"/>
    <w:rsid w:val="00656D24"/>
    <w:rsid w:val="006612D7"/>
    <w:rsid w:val="006626BD"/>
    <w:rsid w:val="0066287B"/>
    <w:rsid w:val="00663744"/>
    <w:rsid w:val="00665649"/>
    <w:rsid w:val="006662D8"/>
    <w:rsid w:val="00667684"/>
    <w:rsid w:val="0067272B"/>
    <w:rsid w:val="006736D9"/>
    <w:rsid w:val="00673B31"/>
    <w:rsid w:val="00674402"/>
    <w:rsid w:val="0067503A"/>
    <w:rsid w:val="0067678A"/>
    <w:rsid w:val="00677547"/>
    <w:rsid w:val="00680542"/>
    <w:rsid w:val="00680991"/>
    <w:rsid w:val="00682973"/>
    <w:rsid w:val="006836E7"/>
    <w:rsid w:val="00683AB7"/>
    <w:rsid w:val="00684769"/>
    <w:rsid w:val="00684D6F"/>
    <w:rsid w:val="00684F1D"/>
    <w:rsid w:val="00684F26"/>
    <w:rsid w:val="00685DE0"/>
    <w:rsid w:val="00686789"/>
    <w:rsid w:val="00686941"/>
    <w:rsid w:val="006877B8"/>
    <w:rsid w:val="0069117C"/>
    <w:rsid w:val="00692BFC"/>
    <w:rsid w:val="00693365"/>
    <w:rsid w:val="006934FB"/>
    <w:rsid w:val="00693764"/>
    <w:rsid w:val="00693B1C"/>
    <w:rsid w:val="00695812"/>
    <w:rsid w:val="00695DFC"/>
    <w:rsid w:val="0069793B"/>
    <w:rsid w:val="00697D81"/>
    <w:rsid w:val="006A024E"/>
    <w:rsid w:val="006A0F54"/>
    <w:rsid w:val="006A19E3"/>
    <w:rsid w:val="006A3532"/>
    <w:rsid w:val="006A567E"/>
    <w:rsid w:val="006A63EB"/>
    <w:rsid w:val="006A6B2F"/>
    <w:rsid w:val="006B1650"/>
    <w:rsid w:val="006B18D6"/>
    <w:rsid w:val="006B1F36"/>
    <w:rsid w:val="006B348F"/>
    <w:rsid w:val="006B5472"/>
    <w:rsid w:val="006B5ACC"/>
    <w:rsid w:val="006B685A"/>
    <w:rsid w:val="006B7D7B"/>
    <w:rsid w:val="006C0082"/>
    <w:rsid w:val="006C16E3"/>
    <w:rsid w:val="006C1D38"/>
    <w:rsid w:val="006C2778"/>
    <w:rsid w:val="006C28AE"/>
    <w:rsid w:val="006C2984"/>
    <w:rsid w:val="006C3112"/>
    <w:rsid w:val="006C3508"/>
    <w:rsid w:val="006C3C04"/>
    <w:rsid w:val="006C5BED"/>
    <w:rsid w:val="006C67ED"/>
    <w:rsid w:val="006C6AC1"/>
    <w:rsid w:val="006C74B5"/>
    <w:rsid w:val="006D3387"/>
    <w:rsid w:val="006D577F"/>
    <w:rsid w:val="006D6358"/>
    <w:rsid w:val="006D6A2E"/>
    <w:rsid w:val="006D6C43"/>
    <w:rsid w:val="006D7C98"/>
    <w:rsid w:val="006E018E"/>
    <w:rsid w:val="006E0CAE"/>
    <w:rsid w:val="006E1103"/>
    <w:rsid w:val="006E1538"/>
    <w:rsid w:val="006E1A61"/>
    <w:rsid w:val="006E2121"/>
    <w:rsid w:val="006E25A5"/>
    <w:rsid w:val="006E2D93"/>
    <w:rsid w:val="006E35C2"/>
    <w:rsid w:val="006E3692"/>
    <w:rsid w:val="006E3E3F"/>
    <w:rsid w:val="006E3F04"/>
    <w:rsid w:val="006E3F10"/>
    <w:rsid w:val="006E55E9"/>
    <w:rsid w:val="006E6472"/>
    <w:rsid w:val="006E6FC5"/>
    <w:rsid w:val="006F0F97"/>
    <w:rsid w:val="006F0FA0"/>
    <w:rsid w:val="006F1502"/>
    <w:rsid w:val="006F355C"/>
    <w:rsid w:val="006F4C55"/>
    <w:rsid w:val="006F618F"/>
    <w:rsid w:val="006F63C3"/>
    <w:rsid w:val="006F7070"/>
    <w:rsid w:val="006F72C5"/>
    <w:rsid w:val="007002FA"/>
    <w:rsid w:val="007015EF"/>
    <w:rsid w:val="0070184F"/>
    <w:rsid w:val="00701CDA"/>
    <w:rsid w:val="00701DA3"/>
    <w:rsid w:val="00702342"/>
    <w:rsid w:val="00705583"/>
    <w:rsid w:val="0070565A"/>
    <w:rsid w:val="00706764"/>
    <w:rsid w:val="007117A0"/>
    <w:rsid w:val="0071196A"/>
    <w:rsid w:val="00712A58"/>
    <w:rsid w:val="00713906"/>
    <w:rsid w:val="00714BDD"/>
    <w:rsid w:val="00714DE8"/>
    <w:rsid w:val="00715E02"/>
    <w:rsid w:val="00716951"/>
    <w:rsid w:val="007169FD"/>
    <w:rsid w:val="00717932"/>
    <w:rsid w:val="0072042D"/>
    <w:rsid w:val="00721D69"/>
    <w:rsid w:val="007221D3"/>
    <w:rsid w:val="00723ACF"/>
    <w:rsid w:val="00723B2C"/>
    <w:rsid w:val="00724633"/>
    <w:rsid w:val="00724EF6"/>
    <w:rsid w:val="0072670D"/>
    <w:rsid w:val="00731BBC"/>
    <w:rsid w:val="00731D2C"/>
    <w:rsid w:val="00732B77"/>
    <w:rsid w:val="00733349"/>
    <w:rsid w:val="00734403"/>
    <w:rsid w:val="007344D2"/>
    <w:rsid w:val="007345A5"/>
    <w:rsid w:val="00734862"/>
    <w:rsid w:val="00735F26"/>
    <w:rsid w:val="00737345"/>
    <w:rsid w:val="007373AB"/>
    <w:rsid w:val="00737B6D"/>
    <w:rsid w:val="00741CFA"/>
    <w:rsid w:val="00744CEA"/>
    <w:rsid w:val="00745806"/>
    <w:rsid w:val="00745AEC"/>
    <w:rsid w:val="00746C53"/>
    <w:rsid w:val="00747FF8"/>
    <w:rsid w:val="00752665"/>
    <w:rsid w:val="007532DC"/>
    <w:rsid w:val="00753CBE"/>
    <w:rsid w:val="00754D29"/>
    <w:rsid w:val="00755709"/>
    <w:rsid w:val="00755AD2"/>
    <w:rsid w:val="00756101"/>
    <w:rsid w:val="0075670A"/>
    <w:rsid w:val="0075698D"/>
    <w:rsid w:val="00757158"/>
    <w:rsid w:val="0075751E"/>
    <w:rsid w:val="00757C32"/>
    <w:rsid w:val="00757DA5"/>
    <w:rsid w:val="00760784"/>
    <w:rsid w:val="007616A0"/>
    <w:rsid w:val="00761A3D"/>
    <w:rsid w:val="00761E96"/>
    <w:rsid w:val="00761FDF"/>
    <w:rsid w:val="00762D22"/>
    <w:rsid w:val="00763A3B"/>
    <w:rsid w:val="007640DA"/>
    <w:rsid w:val="00765155"/>
    <w:rsid w:val="007657DE"/>
    <w:rsid w:val="0076661E"/>
    <w:rsid w:val="00766B3A"/>
    <w:rsid w:val="007671DF"/>
    <w:rsid w:val="0076770C"/>
    <w:rsid w:val="00770231"/>
    <w:rsid w:val="00770591"/>
    <w:rsid w:val="00771790"/>
    <w:rsid w:val="00771AC4"/>
    <w:rsid w:val="00772A6E"/>
    <w:rsid w:val="007733F6"/>
    <w:rsid w:val="00776CB5"/>
    <w:rsid w:val="0077730A"/>
    <w:rsid w:val="007802DB"/>
    <w:rsid w:val="00780852"/>
    <w:rsid w:val="00781E5B"/>
    <w:rsid w:val="00782297"/>
    <w:rsid w:val="007823BF"/>
    <w:rsid w:val="0078276F"/>
    <w:rsid w:val="007828EA"/>
    <w:rsid w:val="00782DEC"/>
    <w:rsid w:val="007831EB"/>
    <w:rsid w:val="0078489E"/>
    <w:rsid w:val="00785F89"/>
    <w:rsid w:val="00785FE1"/>
    <w:rsid w:val="007864AF"/>
    <w:rsid w:val="00786E19"/>
    <w:rsid w:val="00791427"/>
    <w:rsid w:val="00791CCB"/>
    <w:rsid w:val="007922A9"/>
    <w:rsid w:val="007939D0"/>
    <w:rsid w:val="0079423D"/>
    <w:rsid w:val="0079442E"/>
    <w:rsid w:val="00794C7D"/>
    <w:rsid w:val="00795D65"/>
    <w:rsid w:val="00795E31"/>
    <w:rsid w:val="0079619A"/>
    <w:rsid w:val="00796A68"/>
    <w:rsid w:val="00796EED"/>
    <w:rsid w:val="007971A4"/>
    <w:rsid w:val="007A0708"/>
    <w:rsid w:val="007A1CC1"/>
    <w:rsid w:val="007A2FA2"/>
    <w:rsid w:val="007A37C4"/>
    <w:rsid w:val="007A4CF2"/>
    <w:rsid w:val="007A532B"/>
    <w:rsid w:val="007A5801"/>
    <w:rsid w:val="007A5812"/>
    <w:rsid w:val="007A592B"/>
    <w:rsid w:val="007A5E6A"/>
    <w:rsid w:val="007A6AA3"/>
    <w:rsid w:val="007A6B08"/>
    <w:rsid w:val="007A6E8C"/>
    <w:rsid w:val="007A7045"/>
    <w:rsid w:val="007B2620"/>
    <w:rsid w:val="007B275B"/>
    <w:rsid w:val="007B2E7D"/>
    <w:rsid w:val="007B64E2"/>
    <w:rsid w:val="007B6559"/>
    <w:rsid w:val="007B66CF"/>
    <w:rsid w:val="007B6BD1"/>
    <w:rsid w:val="007C0696"/>
    <w:rsid w:val="007C069D"/>
    <w:rsid w:val="007C0CB4"/>
    <w:rsid w:val="007C120E"/>
    <w:rsid w:val="007C35D1"/>
    <w:rsid w:val="007C4029"/>
    <w:rsid w:val="007C4F36"/>
    <w:rsid w:val="007C5F2A"/>
    <w:rsid w:val="007C67FE"/>
    <w:rsid w:val="007C7F72"/>
    <w:rsid w:val="007D09C2"/>
    <w:rsid w:val="007D151F"/>
    <w:rsid w:val="007D1EA2"/>
    <w:rsid w:val="007D2AEA"/>
    <w:rsid w:val="007D3B97"/>
    <w:rsid w:val="007D3BE7"/>
    <w:rsid w:val="007D3E66"/>
    <w:rsid w:val="007D4337"/>
    <w:rsid w:val="007D5D49"/>
    <w:rsid w:val="007D704E"/>
    <w:rsid w:val="007D7361"/>
    <w:rsid w:val="007D739E"/>
    <w:rsid w:val="007D7B5D"/>
    <w:rsid w:val="007E1005"/>
    <w:rsid w:val="007E2BBC"/>
    <w:rsid w:val="007E3929"/>
    <w:rsid w:val="007E3996"/>
    <w:rsid w:val="007E5C9A"/>
    <w:rsid w:val="007E621D"/>
    <w:rsid w:val="007E7B36"/>
    <w:rsid w:val="007E7FE6"/>
    <w:rsid w:val="007F0FBC"/>
    <w:rsid w:val="007F24E6"/>
    <w:rsid w:val="007F2B13"/>
    <w:rsid w:val="007F4B34"/>
    <w:rsid w:val="007F79D9"/>
    <w:rsid w:val="008006B3"/>
    <w:rsid w:val="00800CBB"/>
    <w:rsid w:val="008018EC"/>
    <w:rsid w:val="00802154"/>
    <w:rsid w:val="00802244"/>
    <w:rsid w:val="00802D27"/>
    <w:rsid w:val="0080505A"/>
    <w:rsid w:val="00805BC2"/>
    <w:rsid w:val="00806414"/>
    <w:rsid w:val="0081049C"/>
    <w:rsid w:val="00810577"/>
    <w:rsid w:val="008125D4"/>
    <w:rsid w:val="00812659"/>
    <w:rsid w:val="00812756"/>
    <w:rsid w:val="00812DF2"/>
    <w:rsid w:val="0081415E"/>
    <w:rsid w:val="00814B50"/>
    <w:rsid w:val="00815221"/>
    <w:rsid w:val="008152C0"/>
    <w:rsid w:val="00817E72"/>
    <w:rsid w:val="008204C9"/>
    <w:rsid w:val="00820EC6"/>
    <w:rsid w:val="00821489"/>
    <w:rsid w:val="00821F2F"/>
    <w:rsid w:val="00823211"/>
    <w:rsid w:val="00823CED"/>
    <w:rsid w:val="00824247"/>
    <w:rsid w:val="008244AE"/>
    <w:rsid w:val="00824D7D"/>
    <w:rsid w:val="00824DD1"/>
    <w:rsid w:val="00826DA0"/>
    <w:rsid w:val="00826F4C"/>
    <w:rsid w:val="00831A53"/>
    <w:rsid w:val="008347A3"/>
    <w:rsid w:val="00834CCA"/>
    <w:rsid w:val="008352AE"/>
    <w:rsid w:val="008368D0"/>
    <w:rsid w:val="0083726C"/>
    <w:rsid w:val="008373A4"/>
    <w:rsid w:val="00837A0E"/>
    <w:rsid w:val="00841B34"/>
    <w:rsid w:val="0084285A"/>
    <w:rsid w:val="00843889"/>
    <w:rsid w:val="00843A7F"/>
    <w:rsid w:val="00843E46"/>
    <w:rsid w:val="008440B5"/>
    <w:rsid w:val="00846FCD"/>
    <w:rsid w:val="00850302"/>
    <w:rsid w:val="008504D6"/>
    <w:rsid w:val="00850C88"/>
    <w:rsid w:val="00852895"/>
    <w:rsid w:val="008530F3"/>
    <w:rsid w:val="008535E4"/>
    <w:rsid w:val="00854196"/>
    <w:rsid w:val="0085436A"/>
    <w:rsid w:val="0085442E"/>
    <w:rsid w:val="008572D3"/>
    <w:rsid w:val="008577E7"/>
    <w:rsid w:val="00857CE5"/>
    <w:rsid w:val="0086024A"/>
    <w:rsid w:val="00860253"/>
    <w:rsid w:val="008604C3"/>
    <w:rsid w:val="0086180C"/>
    <w:rsid w:val="00861FC0"/>
    <w:rsid w:val="0086294F"/>
    <w:rsid w:val="00863270"/>
    <w:rsid w:val="00863417"/>
    <w:rsid w:val="00864486"/>
    <w:rsid w:val="00864565"/>
    <w:rsid w:val="00866175"/>
    <w:rsid w:val="00866F7B"/>
    <w:rsid w:val="008703B3"/>
    <w:rsid w:val="008704F2"/>
    <w:rsid w:val="00870EE9"/>
    <w:rsid w:val="00870F75"/>
    <w:rsid w:val="00873002"/>
    <w:rsid w:val="0087302A"/>
    <w:rsid w:val="008738C7"/>
    <w:rsid w:val="00873972"/>
    <w:rsid w:val="008748CF"/>
    <w:rsid w:val="008756B3"/>
    <w:rsid w:val="00876B22"/>
    <w:rsid w:val="00880D87"/>
    <w:rsid w:val="008825B2"/>
    <w:rsid w:val="00882802"/>
    <w:rsid w:val="00882F14"/>
    <w:rsid w:val="008835AF"/>
    <w:rsid w:val="0088434D"/>
    <w:rsid w:val="00884925"/>
    <w:rsid w:val="00885767"/>
    <w:rsid w:val="00886B43"/>
    <w:rsid w:val="008900B2"/>
    <w:rsid w:val="00890AEF"/>
    <w:rsid w:val="008928E1"/>
    <w:rsid w:val="008930AE"/>
    <w:rsid w:val="00893747"/>
    <w:rsid w:val="008938B1"/>
    <w:rsid w:val="00893F91"/>
    <w:rsid w:val="0089437F"/>
    <w:rsid w:val="00894C72"/>
    <w:rsid w:val="00897BC6"/>
    <w:rsid w:val="008A0551"/>
    <w:rsid w:val="008A0620"/>
    <w:rsid w:val="008A0706"/>
    <w:rsid w:val="008A1233"/>
    <w:rsid w:val="008A197C"/>
    <w:rsid w:val="008A1F66"/>
    <w:rsid w:val="008A2E4B"/>
    <w:rsid w:val="008A35CA"/>
    <w:rsid w:val="008A4536"/>
    <w:rsid w:val="008A6239"/>
    <w:rsid w:val="008A63CA"/>
    <w:rsid w:val="008A6886"/>
    <w:rsid w:val="008A6E4C"/>
    <w:rsid w:val="008A7387"/>
    <w:rsid w:val="008A7468"/>
    <w:rsid w:val="008B0F23"/>
    <w:rsid w:val="008B132B"/>
    <w:rsid w:val="008B3C21"/>
    <w:rsid w:val="008B6223"/>
    <w:rsid w:val="008C17C5"/>
    <w:rsid w:val="008C2956"/>
    <w:rsid w:val="008C36FD"/>
    <w:rsid w:val="008C42AD"/>
    <w:rsid w:val="008C449C"/>
    <w:rsid w:val="008C5360"/>
    <w:rsid w:val="008C581A"/>
    <w:rsid w:val="008C7D78"/>
    <w:rsid w:val="008D20FF"/>
    <w:rsid w:val="008D36E4"/>
    <w:rsid w:val="008D4154"/>
    <w:rsid w:val="008D4B0B"/>
    <w:rsid w:val="008D5018"/>
    <w:rsid w:val="008D5CA5"/>
    <w:rsid w:val="008D6FD6"/>
    <w:rsid w:val="008E419A"/>
    <w:rsid w:val="008E5214"/>
    <w:rsid w:val="008E6217"/>
    <w:rsid w:val="008E63E0"/>
    <w:rsid w:val="008E6587"/>
    <w:rsid w:val="008E6CE2"/>
    <w:rsid w:val="008E6F83"/>
    <w:rsid w:val="008E7DE2"/>
    <w:rsid w:val="008F0E08"/>
    <w:rsid w:val="008F132E"/>
    <w:rsid w:val="008F264E"/>
    <w:rsid w:val="008F32F6"/>
    <w:rsid w:val="008F3549"/>
    <w:rsid w:val="008F3B28"/>
    <w:rsid w:val="008F3E50"/>
    <w:rsid w:val="008F449A"/>
    <w:rsid w:val="008F48EB"/>
    <w:rsid w:val="008F4C3A"/>
    <w:rsid w:val="008F5D19"/>
    <w:rsid w:val="008F6930"/>
    <w:rsid w:val="008F6AE8"/>
    <w:rsid w:val="008F74F9"/>
    <w:rsid w:val="008F7635"/>
    <w:rsid w:val="008F78D2"/>
    <w:rsid w:val="0090240B"/>
    <w:rsid w:val="00902F9C"/>
    <w:rsid w:val="00903594"/>
    <w:rsid w:val="00904540"/>
    <w:rsid w:val="0090482B"/>
    <w:rsid w:val="00904CC5"/>
    <w:rsid w:val="009051C8"/>
    <w:rsid w:val="009052BA"/>
    <w:rsid w:val="00906701"/>
    <w:rsid w:val="00910033"/>
    <w:rsid w:val="00911CD9"/>
    <w:rsid w:val="00912C4C"/>
    <w:rsid w:val="00913724"/>
    <w:rsid w:val="009138E5"/>
    <w:rsid w:val="00915B8E"/>
    <w:rsid w:val="00915EC3"/>
    <w:rsid w:val="00916B7E"/>
    <w:rsid w:val="00921422"/>
    <w:rsid w:val="00921A0C"/>
    <w:rsid w:val="00921C25"/>
    <w:rsid w:val="00921C5B"/>
    <w:rsid w:val="0092235E"/>
    <w:rsid w:val="009225A1"/>
    <w:rsid w:val="00923281"/>
    <w:rsid w:val="00923467"/>
    <w:rsid w:val="00924CEA"/>
    <w:rsid w:val="00925A15"/>
    <w:rsid w:val="00926E67"/>
    <w:rsid w:val="00927231"/>
    <w:rsid w:val="00927E4D"/>
    <w:rsid w:val="0093037D"/>
    <w:rsid w:val="009306F4"/>
    <w:rsid w:val="009319B6"/>
    <w:rsid w:val="00932C90"/>
    <w:rsid w:val="009334AA"/>
    <w:rsid w:val="009334FC"/>
    <w:rsid w:val="009341F5"/>
    <w:rsid w:val="00934B4C"/>
    <w:rsid w:val="00934EEA"/>
    <w:rsid w:val="00935159"/>
    <w:rsid w:val="009361A2"/>
    <w:rsid w:val="009369F0"/>
    <w:rsid w:val="00936C74"/>
    <w:rsid w:val="00937669"/>
    <w:rsid w:val="00942537"/>
    <w:rsid w:val="00943215"/>
    <w:rsid w:val="0094342F"/>
    <w:rsid w:val="00943E54"/>
    <w:rsid w:val="00944A92"/>
    <w:rsid w:val="00950683"/>
    <w:rsid w:val="0095176F"/>
    <w:rsid w:val="00952763"/>
    <w:rsid w:val="00952F9A"/>
    <w:rsid w:val="00953B5C"/>
    <w:rsid w:val="009555A6"/>
    <w:rsid w:val="00955C57"/>
    <w:rsid w:val="00961003"/>
    <w:rsid w:val="00961622"/>
    <w:rsid w:val="009618F0"/>
    <w:rsid w:val="00961CBF"/>
    <w:rsid w:val="00962272"/>
    <w:rsid w:val="00963696"/>
    <w:rsid w:val="00963964"/>
    <w:rsid w:val="0096495C"/>
    <w:rsid w:val="009667D9"/>
    <w:rsid w:val="0096680B"/>
    <w:rsid w:val="00967880"/>
    <w:rsid w:val="009703A7"/>
    <w:rsid w:val="00970A98"/>
    <w:rsid w:val="009717BF"/>
    <w:rsid w:val="00976A5A"/>
    <w:rsid w:val="00980C9F"/>
    <w:rsid w:val="0098267E"/>
    <w:rsid w:val="00982B7C"/>
    <w:rsid w:val="00982FE7"/>
    <w:rsid w:val="00983084"/>
    <w:rsid w:val="0098378C"/>
    <w:rsid w:val="00984903"/>
    <w:rsid w:val="00984D42"/>
    <w:rsid w:val="00985132"/>
    <w:rsid w:val="00985659"/>
    <w:rsid w:val="00985A77"/>
    <w:rsid w:val="00985B82"/>
    <w:rsid w:val="00990799"/>
    <w:rsid w:val="00990A61"/>
    <w:rsid w:val="00991259"/>
    <w:rsid w:val="009932FE"/>
    <w:rsid w:val="0099365E"/>
    <w:rsid w:val="00994515"/>
    <w:rsid w:val="009956B8"/>
    <w:rsid w:val="009960DF"/>
    <w:rsid w:val="009965A9"/>
    <w:rsid w:val="00997145"/>
    <w:rsid w:val="00997190"/>
    <w:rsid w:val="0099727B"/>
    <w:rsid w:val="00997C0E"/>
    <w:rsid w:val="009A01F3"/>
    <w:rsid w:val="009A1547"/>
    <w:rsid w:val="009A21E3"/>
    <w:rsid w:val="009A53B3"/>
    <w:rsid w:val="009A79F7"/>
    <w:rsid w:val="009A7EA7"/>
    <w:rsid w:val="009B0312"/>
    <w:rsid w:val="009B06DD"/>
    <w:rsid w:val="009B1D91"/>
    <w:rsid w:val="009B32B8"/>
    <w:rsid w:val="009B3AEF"/>
    <w:rsid w:val="009B4D8C"/>
    <w:rsid w:val="009B537B"/>
    <w:rsid w:val="009B5486"/>
    <w:rsid w:val="009B6016"/>
    <w:rsid w:val="009B688D"/>
    <w:rsid w:val="009B6939"/>
    <w:rsid w:val="009B6BD6"/>
    <w:rsid w:val="009B7DD9"/>
    <w:rsid w:val="009C01C3"/>
    <w:rsid w:val="009C0241"/>
    <w:rsid w:val="009C156C"/>
    <w:rsid w:val="009C1E38"/>
    <w:rsid w:val="009C26B6"/>
    <w:rsid w:val="009C2792"/>
    <w:rsid w:val="009C3AA5"/>
    <w:rsid w:val="009C40EB"/>
    <w:rsid w:val="009C4524"/>
    <w:rsid w:val="009C4A6D"/>
    <w:rsid w:val="009C4AAA"/>
    <w:rsid w:val="009C5DC2"/>
    <w:rsid w:val="009C6B50"/>
    <w:rsid w:val="009C7043"/>
    <w:rsid w:val="009D03F5"/>
    <w:rsid w:val="009D13B1"/>
    <w:rsid w:val="009D4160"/>
    <w:rsid w:val="009D47D4"/>
    <w:rsid w:val="009D55A0"/>
    <w:rsid w:val="009D7384"/>
    <w:rsid w:val="009E0E6F"/>
    <w:rsid w:val="009E2DA1"/>
    <w:rsid w:val="009E337D"/>
    <w:rsid w:val="009E43C9"/>
    <w:rsid w:val="009E4E36"/>
    <w:rsid w:val="009E58F1"/>
    <w:rsid w:val="009E7A62"/>
    <w:rsid w:val="009E7BB1"/>
    <w:rsid w:val="009F269F"/>
    <w:rsid w:val="009F2766"/>
    <w:rsid w:val="009F28E5"/>
    <w:rsid w:val="009F300B"/>
    <w:rsid w:val="009F3080"/>
    <w:rsid w:val="009F3AA5"/>
    <w:rsid w:val="009F4328"/>
    <w:rsid w:val="009F4A04"/>
    <w:rsid w:val="009F6552"/>
    <w:rsid w:val="009F6AA2"/>
    <w:rsid w:val="009F6B84"/>
    <w:rsid w:val="009F7195"/>
    <w:rsid w:val="00A0028C"/>
    <w:rsid w:val="00A01E4E"/>
    <w:rsid w:val="00A02523"/>
    <w:rsid w:val="00A02A55"/>
    <w:rsid w:val="00A03298"/>
    <w:rsid w:val="00A034A0"/>
    <w:rsid w:val="00A042C9"/>
    <w:rsid w:val="00A04438"/>
    <w:rsid w:val="00A04E3D"/>
    <w:rsid w:val="00A05C70"/>
    <w:rsid w:val="00A05EC1"/>
    <w:rsid w:val="00A063C5"/>
    <w:rsid w:val="00A06D8F"/>
    <w:rsid w:val="00A07831"/>
    <w:rsid w:val="00A1004D"/>
    <w:rsid w:val="00A1086D"/>
    <w:rsid w:val="00A10C42"/>
    <w:rsid w:val="00A116BA"/>
    <w:rsid w:val="00A12716"/>
    <w:rsid w:val="00A1371B"/>
    <w:rsid w:val="00A13AFF"/>
    <w:rsid w:val="00A1548C"/>
    <w:rsid w:val="00A156B8"/>
    <w:rsid w:val="00A15A45"/>
    <w:rsid w:val="00A167AC"/>
    <w:rsid w:val="00A1787D"/>
    <w:rsid w:val="00A2029F"/>
    <w:rsid w:val="00A24D6C"/>
    <w:rsid w:val="00A26B7A"/>
    <w:rsid w:val="00A274F6"/>
    <w:rsid w:val="00A276D8"/>
    <w:rsid w:val="00A30183"/>
    <w:rsid w:val="00A30797"/>
    <w:rsid w:val="00A3097D"/>
    <w:rsid w:val="00A31D8E"/>
    <w:rsid w:val="00A335E4"/>
    <w:rsid w:val="00A33735"/>
    <w:rsid w:val="00A3492D"/>
    <w:rsid w:val="00A35C80"/>
    <w:rsid w:val="00A3784A"/>
    <w:rsid w:val="00A37E73"/>
    <w:rsid w:val="00A4065C"/>
    <w:rsid w:val="00A40F25"/>
    <w:rsid w:val="00A40F4F"/>
    <w:rsid w:val="00A40FFA"/>
    <w:rsid w:val="00A42892"/>
    <w:rsid w:val="00A42E87"/>
    <w:rsid w:val="00A43292"/>
    <w:rsid w:val="00A44763"/>
    <w:rsid w:val="00A459C9"/>
    <w:rsid w:val="00A476AA"/>
    <w:rsid w:val="00A477B9"/>
    <w:rsid w:val="00A47F4D"/>
    <w:rsid w:val="00A506BD"/>
    <w:rsid w:val="00A50763"/>
    <w:rsid w:val="00A51314"/>
    <w:rsid w:val="00A5399E"/>
    <w:rsid w:val="00A542B1"/>
    <w:rsid w:val="00A551B2"/>
    <w:rsid w:val="00A562F2"/>
    <w:rsid w:val="00A56380"/>
    <w:rsid w:val="00A5688B"/>
    <w:rsid w:val="00A57B0B"/>
    <w:rsid w:val="00A603E7"/>
    <w:rsid w:val="00A604A5"/>
    <w:rsid w:val="00A61300"/>
    <w:rsid w:val="00A6202B"/>
    <w:rsid w:val="00A64194"/>
    <w:rsid w:val="00A64461"/>
    <w:rsid w:val="00A65BE5"/>
    <w:rsid w:val="00A665C3"/>
    <w:rsid w:val="00A70150"/>
    <w:rsid w:val="00A705E4"/>
    <w:rsid w:val="00A70860"/>
    <w:rsid w:val="00A7376C"/>
    <w:rsid w:val="00A7400A"/>
    <w:rsid w:val="00A74642"/>
    <w:rsid w:val="00A749FA"/>
    <w:rsid w:val="00A74B05"/>
    <w:rsid w:val="00A753D2"/>
    <w:rsid w:val="00A75F7B"/>
    <w:rsid w:val="00A76241"/>
    <w:rsid w:val="00A76995"/>
    <w:rsid w:val="00A76AC7"/>
    <w:rsid w:val="00A77A09"/>
    <w:rsid w:val="00A813A2"/>
    <w:rsid w:val="00A81D55"/>
    <w:rsid w:val="00A8413A"/>
    <w:rsid w:val="00A86D7B"/>
    <w:rsid w:val="00A87BEF"/>
    <w:rsid w:val="00A87DC3"/>
    <w:rsid w:val="00A90636"/>
    <w:rsid w:val="00A90CFB"/>
    <w:rsid w:val="00A91636"/>
    <w:rsid w:val="00A9333D"/>
    <w:rsid w:val="00A93A89"/>
    <w:rsid w:val="00A93D92"/>
    <w:rsid w:val="00A9434B"/>
    <w:rsid w:val="00A9488E"/>
    <w:rsid w:val="00A949C7"/>
    <w:rsid w:val="00A94D3C"/>
    <w:rsid w:val="00A950A9"/>
    <w:rsid w:val="00A96661"/>
    <w:rsid w:val="00A968B2"/>
    <w:rsid w:val="00A971A6"/>
    <w:rsid w:val="00A97931"/>
    <w:rsid w:val="00AA0655"/>
    <w:rsid w:val="00AA1325"/>
    <w:rsid w:val="00AA297F"/>
    <w:rsid w:val="00AA3A3D"/>
    <w:rsid w:val="00AA52BA"/>
    <w:rsid w:val="00AA5CD4"/>
    <w:rsid w:val="00AA618F"/>
    <w:rsid w:val="00AA6376"/>
    <w:rsid w:val="00AA7BEB"/>
    <w:rsid w:val="00AB0582"/>
    <w:rsid w:val="00AB11C3"/>
    <w:rsid w:val="00AB138B"/>
    <w:rsid w:val="00AB13EE"/>
    <w:rsid w:val="00AB1619"/>
    <w:rsid w:val="00AB17F1"/>
    <w:rsid w:val="00AB2444"/>
    <w:rsid w:val="00AB24FE"/>
    <w:rsid w:val="00AB3A2A"/>
    <w:rsid w:val="00AB46C2"/>
    <w:rsid w:val="00AB79CE"/>
    <w:rsid w:val="00AB7F91"/>
    <w:rsid w:val="00AC0BDD"/>
    <w:rsid w:val="00AC1605"/>
    <w:rsid w:val="00AC1701"/>
    <w:rsid w:val="00AC251B"/>
    <w:rsid w:val="00AC2D90"/>
    <w:rsid w:val="00AC38F4"/>
    <w:rsid w:val="00AC3CD9"/>
    <w:rsid w:val="00AC443A"/>
    <w:rsid w:val="00AC47FE"/>
    <w:rsid w:val="00AC4F85"/>
    <w:rsid w:val="00AC5162"/>
    <w:rsid w:val="00AC57CD"/>
    <w:rsid w:val="00AC58FF"/>
    <w:rsid w:val="00AC5F0A"/>
    <w:rsid w:val="00AC63AE"/>
    <w:rsid w:val="00AC71BA"/>
    <w:rsid w:val="00AD0060"/>
    <w:rsid w:val="00AD0F53"/>
    <w:rsid w:val="00AD1E1D"/>
    <w:rsid w:val="00AD1EC0"/>
    <w:rsid w:val="00AD316F"/>
    <w:rsid w:val="00AD3B05"/>
    <w:rsid w:val="00AD4C6F"/>
    <w:rsid w:val="00AD7976"/>
    <w:rsid w:val="00AD7BB2"/>
    <w:rsid w:val="00AD7D31"/>
    <w:rsid w:val="00AE001A"/>
    <w:rsid w:val="00AE06BD"/>
    <w:rsid w:val="00AE0B6D"/>
    <w:rsid w:val="00AE0B77"/>
    <w:rsid w:val="00AE1BF8"/>
    <w:rsid w:val="00AE2750"/>
    <w:rsid w:val="00AE27E7"/>
    <w:rsid w:val="00AE3B34"/>
    <w:rsid w:val="00AE3C60"/>
    <w:rsid w:val="00AE3CE0"/>
    <w:rsid w:val="00AE3F97"/>
    <w:rsid w:val="00AE5992"/>
    <w:rsid w:val="00AE5FA1"/>
    <w:rsid w:val="00AE62DD"/>
    <w:rsid w:val="00AE7680"/>
    <w:rsid w:val="00AF0282"/>
    <w:rsid w:val="00AF3359"/>
    <w:rsid w:val="00AF4958"/>
    <w:rsid w:val="00AF6622"/>
    <w:rsid w:val="00AF6A5E"/>
    <w:rsid w:val="00AF6A63"/>
    <w:rsid w:val="00AF6F58"/>
    <w:rsid w:val="00AF7A8E"/>
    <w:rsid w:val="00B0025C"/>
    <w:rsid w:val="00B01D9D"/>
    <w:rsid w:val="00B0326A"/>
    <w:rsid w:val="00B04560"/>
    <w:rsid w:val="00B046B4"/>
    <w:rsid w:val="00B04965"/>
    <w:rsid w:val="00B04EEA"/>
    <w:rsid w:val="00B05142"/>
    <w:rsid w:val="00B0515F"/>
    <w:rsid w:val="00B055D2"/>
    <w:rsid w:val="00B06776"/>
    <w:rsid w:val="00B06D15"/>
    <w:rsid w:val="00B0731B"/>
    <w:rsid w:val="00B07D58"/>
    <w:rsid w:val="00B1024D"/>
    <w:rsid w:val="00B10F6A"/>
    <w:rsid w:val="00B10F7E"/>
    <w:rsid w:val="00B110FB"/>
    <w:rsid w:val="00B11BEC"/>
    <w:rsid w:val="00B13676"/>
    <w:rsid w:val="00B13FFB"/>
    <w:rsid w:val="00B145E5"/>
    <w:rsid w:val="00B14AF7"/>
    <w:rsid w:val="00B15492"/>
    <w:rsid w:val="00B171CE"/>
    <w:rsid w:val="00B22A50"/>
    <w:rsid w:val="00B22E38"/>
    <w:rsid w:val="00B234E3"/>
    <w:rsid w:val="00B23F91"/>
    <w:rsid w:val="00B24613"/>
    <w:rsid w:val="00B248E5"/>
    <w:rsid w:val="00B25CC0"/>
    <w:rsid w:val="00B2650F"/>
    <w:rsid w:val="00B2654E"/>
    <w:rsid w:val="00B26860"/>
    <w:rsid w:val="00B26C81"/>
    <w:rsid w:val="00B272AE"/>
    <w:rsid w:val="00B27F9C"/>
    <w:rsid w:val="00B3027C"/>
    <w:rsid w:val="00B30AEA"/>
    <w:rsid w:val="00B30E23"/>
    <w:rsid w:val="00B3164C"/>
    <w:rsid w:val="00B3213D"/>
    <w:rsid w:val="00B3255F"/>
    <w:rsid w:val="00B34BBF"/>
    <w:rsid w:val="00B34EA6"/>
    <w:rsid w:val="00B35CE2"/>
    <w:rsid w:val="00B36A7D"/>
    <w:rsid w:val="00B37EAF"/>
    <w:rsid w:val="00B4047B"/>
    <w:rsid w:val="00B4079D"/>
    <w:rsid w:val="00B40994"/>
    <w:rsid w:val="00B40DA8"/>
    <w:rsid w:val="00B41EB4"/>
    <w:rsid w:val="00B43093"/>
    <w:rsid w:val="00B43417"/>
    <w:rsid w:val="00B43FBB"/>
    <w:rsid w:val="00B441BD"/>
    <w:rsid w:val="00B449E9"/>
    <w:rsid w:val="00B4532B"/>
    <w:rsid w:val="00B45CF9"/>
    <w:rsid w:val="00B472B5"/>
    <w:rsid w:val="00B47E78"/>
    <w:rsid w:val="00B50CBD"/>
    <w:rsid w:val="00B50E84"/>
    <w:rsid w:val="00B51604"/>
    <w:rsid w:val="00B525C1"/>
    <w:rsid w:val="00B52C82"/>
    <w:rsid w:val="00B5353E"/>
    <w:rsid w:val="00B54083"/>
    <w:rsid w:val="00B541CB"/>
    <w:rsid w:val="00B553A7"/>
    <w:rsid w:val="00B559E9"/>
    <w:rsid w:val="00B56731"/>
    <w:rsid w:val="00B6050F"/>
    <w:rsid w:val="00B60E2C"/>
    <w:rsid w:val="00B60E37"/>
    <w:rsid w:val="00B618F9"/>
    <w:rsid w:val="00B61984"/>
    <w:rsid w:val="00B62066"/>
    <w:rsid w:val="00B62D15"/>
    <w:rsid w:val="00B63D82"/>
    <w:rsid w:val="00B64505"/>
    <w:rsid w:val="00B6583D"/>
    <w:rsid w:val="00B665B2"/>
    <w:rsid w:val="00B6663B"/>
    <w:rsid w:val="00B669F1"/>
    <w:rsid w:val="00B70460"/>
    <w:rsid w:val="00B70A21"/>
    <w:rsid w:val="00B732BD"/>
    <w:rsid w:val="00B7441D"/>
    <w:rsid w:val="00B75618"/>
    <w:rsid w:val="00B7678F"/>
    <w:rsid w:val="00B77C61"/>
    <w:rsid w:val="00B811BB"/>
    <w:rsid w:val="00B815C2"/>
    <w:rsid w:val="00B8310C"/>
    <w:rsid w:val="00B8515B"/>
    <w:rsid w:val="00B8568E"/>
    <w:rsid w:val="00B86146"/>
    <w:rsid w:val="00B90117"/>
    <w:rsid w:val="00B92373"/>
    <w:rsid w:val="00B92B61"/>
    <w:rsid w:val="00B92F15"/>
    <w:rsid w:val="00B9318B"/>
    <w:rsid w:val="00B93DF4"/>
    <w:rsid w:val="00B93E1E"/>
    <w:rsid w:val="00B9410A"/>
    <w:rsid w:val="00B94CE1"/>
    <w:rsid w:val="00B94F7B"/>
    <w:rsid w:val="00B953FA"/>
    <w:rsid w:val="00B956EE"/>
    <w:rsid w:val="00B95D32"/>
    <w:rsid w:val="00B967A1"/>
    <w:rsid w:val="00B96F1F"/>
    <w:rsid w:val="00BA00FF"/>
    <w:rsid w:val="00BA07AA"/>
    <w:rsid w:val="00BA087F"/>
    <w:rsid w:val="00BA08E7"/>
    <w:rsid w:val="00BA098A"/>
    <w:rsid w:val="00BA11DE"/>
    <w:rsid w:val="00BA1366"/>
    <w:rsid w:val="00BA1E74"/>
    <w:rsid w:val="00BA232A"/>
    <w:rsid w:val="00BA4562"/>
    <w:rsid w:val="00BA4B8A"/>
    <w:rsid w:val="00BA5B0E"/>
    <w:rsid w:val="00BA61B7"/>
    <w:rsid w:val="00BA63F2"/>
    <w:rsid w:val="00BB0496"/>
    <w:rsid w:val="00BB0B31"/>
    <w:rsid w:val="00BB2312"/>
    <w:rsid w:val="00BB272F"/>
    <w:rsid w:val="00BB3BE4"/>
    <w:rsid w:val="00BB47F1"/>
    <w:rsid w:val="00BB49A2"/>
    <w:rsid w:val="00BB4DFD"/>
    <w:rsid w:val="00BB5ED5"/>
    <w:rsid w:val="00BB6A01"/>
    <w:rsid w:val="00BB71D7"/>
    <w:rsid w:val="00BC0E4E"/>
    <w:rsid w:val="00BC1658"/>
    <w:rsid w:val="00BC21B4"/>
    <w:rsid w:val="00BC2859"/>
    <w:rsid w:val="00BC3FBD"/>
    <w:rsid w:val="00BC5C48"/>
    <w:rsid w:val="00BC7A48"/>
    <w:rsid w:val="00BD2585"/>
    <w:rsid w:val="00BD38ED"/>
    <w:rsid w:val="00BD42C3"/>
    <w:rsid w:val="00BD56DA"/>
    <w:rsid w:val="00BD7004"/>
    <w:rsid w:val="00BD70AC"/>
    <w:rsid w:val="00BE2226"/>
    <w:rsid w:val="00BE2F2C"/>
    <w:rsid w:val="00BE38EC"/>
    <w:rsid w:val="00BE4298"/>
    <w:rsid w:val="00BE503B"/>
    <w:rsid w:val="00BE5A6A"/>
    <w:rsid w:val="00BE6361"/>
    <w:rsid w:val="00BE6EF5"/>
    <w:rsid w:val="00BE7721"/>
    <w:rsid w:val="00BF08BA"/>
    <w:rsid w:val="00BF0AC4"/>
    <w:rsid w:val="00BF0C3B"/>
    <w:rsid w:val="00BF2478"/>
    <w:rsid w:val="00BF468A"/>
    <w:rsid w:val="00BF47FD"/>
    <w:rsid w:val="00BF4993"/>
    <w:rsid w:val="00BF543C"/>
    <w:rsid w:val="00BF5538"/>
    <w:rsid w:val="00BF560C"/>
    <w:rsid w:val="00BF5A31"/>
    <w:rsid w:val="00BF5EA8"/>
    <w:rsid w:val="00BF682C"/>
    <w:rsid w:val="00BF6B52"/>
    <w:rsid w:val="00BF7A2D"/>
    <w:rsid w:val="00C00617"/>
    <w:rsid w:val="00C01C64"/>
    <w:rsid w:val="00C04214"/>
    <w:rsid w:val="00C04FBF"/>
    <w:rsid w:val="00C060B5"/>
    <w:rsid w:val="00C06157"/>
    <w:rsid w:val="00C06F90"/>
    <w:rsid w:val="00C11CB0"/>
    <w:rsid w:val="00C11CD6"/>
    <w:rsid w:val="00C12932"/>
    <w:rsid w:val="00C1552A"/>
    <w:rsid w:val="00C15FBC"/>
    <w:rsid w:val="00C168FB"/>
    <w:rsid w:val="00C175F6"/>
    <w:rsid w:val="00C20562"/>
    <w:rsid w:val="00C2060B"/>
    <w:rsid w:val="00C210B6"/>
    <w:rsid w:val="00C21B32"/>
    <w:rsid w:val="00C21F33"/>
    <w:rsid w:val="00C2319E"/>
    <w:rsid w:val="00C24CEF"/>
    <w:rsid w:val="00C26415"/>
    <w:rsid w:val="00C26D16"/>
    <w:rsid w:val="00C274DA"/>
    <w:rsid w:val="00C31459"/>
    <w:rsid w:val="00C32DA7"/>
    <w:rsid w:val="00C33AAC"/>
    <w:rsid w:val="00C33D2F"/>
    <w:rsid w:val="00C34F16"/>
    <w:rsid w:val="00C37A39"/>
    <w:rsid w:val="00C37E42"/>
    <w:rsid w:val="00C4026D"/>
    <w:rsid w:val="00C4048C"/>
    <w:rsid w:val="00C407CE"/>
    <w:rsid w:val="00C41097"/>
    <w:rsid w:val="00C4255F"/>
    <w:rsid w:val="00C43583"/>
    <w:rsid w:val="00C44007"/>
    <w:rsid w:val="00C45467"/>
    <w:rsid w:val="00C4754C"/>
    <w:rsid w:val="00C4763C"/>
    <w:rsid w:val="00C4778B"/>
    <w:rsid w:val="00C477BB"/>
    <w:rsid w:val="00C51DA1"/>
    <w:rsid w:val="00C51F20"/>
    <w:rsid w:val="00C53B98"/>
    <w:rsid w:val="00C54284"/>
    <w:rsid w:val="00C55C3B"/>
    <w:rsid w:val="00C56083"/>
    <w:rsid w:val="00C5717F"/>
    <w:rsid w:val="00C573AA"/>
    <w:rsid w:val="00C573CC"/>
    <w:rsid w:val="00C60312"/>
    <w:rsid w:val="00C60730"/>
    <w:rsid w:val="00C60D9C"/>
    <w:rsid w:val="00C60ECA"/>
    <w:rsid w:val="00C62587"/>
    <w:rsid w:val="00C62668"/>
    <w:rsid w:val="00C62DC2"/>
    <w:rsid w:val="00C6701B"/>
    <w:rsid w:val="00C67ECB"/>
    <w:rsid w:val="00C7010C"/>
    <w:rsid w:val="00C701FD"/>
    <w:rsid w:val="00C70F41"/>
    <w:rsid w:val="00C71616"/>
    <w:rsid w:val="00C72EBC"/>
    <w:rsid w:val="00C73003"/>
    <w:rsid w:val="00C7338A"/>
    <w:rsid w:val="00C735EE"/>
    <w:rsid w:val="00C73FF9"/>
    <w:rsid w:val="00C74EA6"/>
    <w:rsid w:val="00C77878"/>
    <w:rsid w:val="00C77C2D"/>
    <w:rsid w:val="00C77ECD"/>
    <w:rsid w:val="00C81A91"/>
    <w:rsid w:val="00C8354C"/>
    <w:rsid w:val="00C84A6D"/>
    <w:rsid w:val="00C84E17"/>
    <w:rsid w:val="00C85079"/>
    <w:rsid w:val="00C87ECE"/>
    <w:rsid w:val="00C90834"/>
    <w:rsid w:val="00C9217C"/>
    <w:rsid w:val="00C941AC"/>
    <w:rsid w:val="00C94596"/>
    <w:rsid w:val="00C94860"/>
    <w:rsid w:val="00C9615E"/>
    <w:rsid w:val="00C96638"/>
    <w:rsid w:val="00C96FE3"/>
    <w:rsid w:val="00C9795C"/>
    <w:rsid w:val="00CA06E3"/>
    <w:rsid w:val="00CA220C"/>
    <w:rsid w:val="00CA3019"/>
    <w:rsid w:val="00CA30A2"/>
    <w:rsid w:val="00CA4E5A"/>
    <w:rsid w:val="00CA6334"/>
    <w:rsid w:val="00CA73FC"/>
    <w:rsid w:val="00CB0CBB"/>
    <w:rsid w:val="00CB0EBA"/>
    <w:rsid w:val="00CB0F0C"/>
    <w:rsid w:val="00CB11DE"/>
    <w:rsid w:val="00CB1353"/>
    <w:rsid w:val="00CB271F"/>
    <w:rsid w:val="00CB3DE6"/>
    <w:rsid w:val="00CB4AB1"/>
    <w:rsid w:val="00CB56A3"/>
    <w:rsid w:val="00CB6667"/>
    <w:rsid w:val="00CB6EF2"/>
    <w:rsid w:val="00CB796B"/>
    <w:rsid w:val="00CB7CB0"/>
    <w:rsid w:val="00CB7F67"/>
    <w:rsid w:val="00CC20B1"/>
    <w:rsid w:val="00CC3638"/>
    <w:rsid w:val="00CC5415"/>
    <w:rsid w:val="00CC64E8"/>
    <w:rsid w:val="00CD0023"/>
    <w:rsid w:val="00CD0972"/>
    <w:rsid w:val="00CD163C"/>
    <w:rsid w:val="00CD1AF8"/>
    <w:rsid w:val="00CD1D57"/>
    <w:rsid w:val="00CD3402"/>
    <w:rsid w:val="00CD3554"/>
    <w:rsid w:val="00CD3867"/>
    <w:rsid w:val="00CD3FB9"/>
    <w:rsid w:val="00CD4C4B"/>
    <w:rsid w:val="00CD4DF8"/>
    <w:rsid w:val="00CD5AC1"/>
    <w:rsid w:val="00CD6FD9"/>
    <w:rsid w:val="00CD7453"/>
    <w:rsid w:val="00CD76F0"/>
    <w:rsid w:val="00CD7C89"/>
    <w:rsid w:val="00CD7DE9"/>
    <w:rsid w:val="00CE04D6"/>
    <w:rsid w:val="00CE0ED3"/>
    <w:rsid w:val="00CE25CE"/>
    <w:rsid w:val="00CE32CE"/>
    <w:rsid w:val="00CE3A59"/>
    <w:rsid w:val="00CE5BE4"/>
    <w:rsid w:val="00CE7BEE"/>
    <w:rsid w:val="00CF0715"/>
    <w:rsid w:val="00CF1799"/>
    <w:rsid w:val="00CF2668"/>
    <w:rsid w:val="00CF2771"/>
    <w:rsid w:val="00CF2899"/>
    <w:rsid w:val="00CF4B36"/>
    <w:rsid w:val="00CF4BBF"/>
    <w:rsid w:val="00CF4C92"/>
    <w:rsid w:val="00CF4FF3"/>
    <w:rsid w:val="00CF57D1"/>
    <w:rsid w:val="00CF5AC8"/>
    <w:rsid w:val="00CF7AF5"/>
    <w:rsid w:val="00CF7C63"/>
    <w:rsid w:val="00D0548F"/>
    <w:rsid w:val="00D067C6"/>
    <w:rsid w:val="00D06D1F"/>
    <w:rsid w:val="00D07E00"/>
    <w:rsid w:val="00D11802"/>
    <w:rsid w:val="00D12051"/>
    <w:rsid w:val="00D1331D"/>
    <w:rsid w:val="00D13347"/>
    <w:rsid w:val="00D13999"/>
    <w:rsid w:val="00D1455E"/>
    <w:rsid w:val="00D1682C"/>
    <w:rsid w:val="00D17940"/>
    <w:rsid w:val="00D17AD4"/>
    <w:rsid w:val="00D22567"/>
    <w:rsid w:val="00D2262C"/>
    <w:rsid w:val="00D22A85"/>
    <w:rsid w:val="00D23426"/>
    <w:rsid w:val="00D24784"/>
    <w:rsid w:val="00D25A67"/>
    <w:rsid w:val="00D267C3"/>
    <w:rsid w:val="00D26D0E"/>
    <w:rsid w:val="00D27081"/>
    <w:rsid w:val="00D27210"/>
    <w:rsid w:val="00D325D9"/>
    <w:rsid w:val="00D34E0B"/>
    <w:rsid w:val="00D35528"/>
    <w:rsid w:val="00D35575"/>
    <w:rsid w:val="00D364CD"/>
    <w:rsid w:val="00D36CC8"/>
    <w:rsid w:val="00D405E7"/>
    <w:rsid w:val="00D40690"/>
    <w:rsid w:val="00D42F42"/>
    <w:rsid w:val="00D43529"/>
    <w:rsid w:val="00D4590C"/>
    <w:rsid w:val="00D45A48"/>
    <w:rsid w:val="00D476AB"/>
    <w:rsid w:val="00D51E68"/>
    <w:rsid w:val="00D54426"/>
    <w:rsid w:val="00D54F4E"/>
    <w:rsid w:val="00D55ACE"/>
    <w:rsid w:val="00D56002"/>
    <w:rsid w:val="00D5689B"/>
    <w:rsid w:val="00D57516"/>
    <w:rsid w:val="00D57C12"/>
    <w:rsid w:val="00D57FBB"/>
    <w:rsid w:val="00D61AC3"/>
    <w:rsid w:val="00D626F3"/>
    <w:rsid w:val="00D62A52"/>
    <w:rsid w:val="00D63FD3"/>
    <w:rsid w:val="00D64FEC"/>
    <w:rsid w:val="00D65583"/>
    <w:rsid w:val="00D65591"/>
    <w:rsid w:val="00D656DD"/>
    <w:rsid w:val="00D658FF"/>
    <w:rsid w:val="00D65A70"/>
    <w:rsid w:val="00D65DDE"/>
    <w:rsid w:val="00D65EB4"/>
    <w:rsid w:val="00D6641C"/>
    <w:rsid w:val="00D669CE"/>
    <w:rsid w:val="00D66BA4"/>
    <w:rsid w:val="00D718EA"/>
    <w:rsid w:val="00D7193F"/>
    <w:rsid w:val="00D71FF9"/>
    <w:rsid w:val="00D72EA0"/>
    <w:rsid w:val="00D747A5"/>
    <w:rsid w:val="00D761E3"/>
    <w:rsid w:val="00D76D15"/>
    <w:rsid w:val="00D8010E"/>
    <w:rsid w:val="00D81982"/>
    <w:rsid w:val="00D81F50"/>
    <w:rsid w:val="00D82045"/>
    <w:rsid w:val="00D8232F"/>
    <w:rsid w:val="00D84387"/>
    <w:rsid w:val="00D85E09"/>
    <w:rsid w:val="00D86094"/>
    <w:rsid w:val="00D86D9A"/>
    <w:rsid w:val="00D86E0B"/>
    <w:rsid w:val="00D8710F"/>
    <w:rsid w:val="00D877DF"/>
    <w:rsid w:val="00D90C54"/>
    <w:rsid w:val="00D91747"/>
    <w:rsid w:val="00D917FE"/>
    <w:rsid w:val="00D919AB"/>
    <w:rsid w:val="00D91C9A"/>
    <w:rsid w:val="00D92F0F"/>
    <w:rsid w:val="00D93014"/>
    <w:rsid w:val="00D9316D"/>
    <w:rsid w:val="00D946C7"/>
    <w:rsid w:val="00D94A35"/>
    <w:rsid w:val="00D955EC"/>
    <w:rsid w:val="00D95EEA"/>
    <w:rsid w:val="00DA06E5"/>
    <w:rsid w:val="00DA0E70"/>
    <w:rsid w:val="00DA189E"/>
    <w:rsid w:val="00DA2023"/>
    <w:rsid w:val="00DA513D"/>
    <w:rsid w:val="00DA613C"/>
    <w:rsid w:val="00DA7824"/>
    <w:rsid w:val="00DB0694"/>
    <w:rsid w:val="00DB395D"/>
    <w:rsid w:val="00DB396B"/>
    <w:rsid w:val="00DB4BAB"/>
    <w:rsid w:val="00DB4D3E"/>
    <w:rsid w:val="00DB640D"/>
    <w:rsid w:val="00DB67E3"/>
    <w:rsid w:val="00DB7957"/>
    <w:rsid w:val="00DC080D"/>
    <w:rsid w:val="00DC15DE"/>
    <w:rsid w:val="00DC20EA"/>
    <w:rsid w:val="00DC2194"/>
    <w:rsid w:val="00DC3AC8"/>
    <w:rsid w:val="00DC61B3"/>
    <w:rsid w:val="00DC6F10"/>
    <w:rsid w:val="00DC73CD"/>
    <w:rsid w:val="00DD1B6A"/>
    <w:rsid w:val="00DD22D3"/>
    <w:rsid w:val="00DD413F"/>
    <w:rsid w:val="00DD5A16"/>
    <w:rsid w:val="00DD5A26"/>
    <w:rsid w:val="00DD6563"/>
    <w:rsid w:val="00DD6F55"/>
    <w:rsid w:val="00DD752A"/>
    <w:rsid w:val="00DD766A"/>
    <w:rsid w:val="00DD77FF"/>
    <w:rsid w:val="00DD784A"/>
    <w:rsid w:val="00DE0B07"/>
    <w:rsid w:val="00DE171F"/>
    <w:rsid w:val="00DE2344"/>
    <w:rsid w:val="00DE25F3"/>
    <w:rsid w:val="00DE2D94"/>
    <w:rsid w:val="00DE30F6"/>
    <w:rsid w:val="00DE3E17"/>
    <w:rsid w:val="00DE42A1"/>
    <w:rsid w:val="00DE51D5"/>
    <w:rsid w:val="00DE686E"/>
    <w:rsid w:val="00DE6C0D"/>
    <w:rsid w:val="00DE6C14"/>
    <w:rsid w:val="00DE795D"/>
    <w:rsid w:val="00DF2532"/>
    <w:rsid w:val="00DF2BF4"/>
    <w:rsid w:val="00DF3332"/>
    <w:rsid w:val="00DF3B9F"/>
    <w:rsid w:val="00DF5AE1"/>
    <w:rsid w:val="00DF5D83"/>
    <w:rsid w:val="00DF6374"/>
    <w:rsid w:val="00DF7632"/>
    <w:rsid w:val="00E003BC"/>
    <w:rsid w:val="00E02037"/>
    <w:rsid w:val="00E034CE"/>
    <w:rsid w:val="00E03665"/>
    <w:rsid w:val="00E04563"/>
    <w:rsid w:val="00E0547C"/>
    <w:rsid w:val="00E0672B"/>
    <w:rsid w:val="00E10F57"/>
    <w:rsid w:val="00E11C8A"/>
    <w:rsid w:val="00E12861"/>
    <w:rsid w:val="00E12B6A"/>
    <w:rsid w:val="00E12DD5"/>
    <w:rsid w:val="00E12F27"/>
    <w:rsid w:val="00E151A8"/>
    <w:rsid w:val="00E1560C"/>
    <w:rsid w:val="00E15E8A"/>
    <w:rsid w:val="00E17939"/>
    <w:rsid w:val="00E20811"/>
    <w:rsid w:val="00E20DB0"/>
    <w:rsid w:val="00E21DB4"/>
    <w:rsid w:val="00E223F7"/>
    <w:rsid w:val="00E22725"/>
    <w:rsid w:val="00E2309B"/>
    <w:rsid w:val="00E23B7D"/>
    <w:rsid w:val="00E23EF8"/>
    <w:rsid w:val="00E25E1C"/>
    <w:rsid w:val="00E277E9"/>
    <w:rsid w:val="00E27E46"/>
    <w:rsid w:val="00E30183"/>
    <w:rsid w:val="00E32C5F"/>
    <w:rsid w:val="00E3485A"/>
    <w:rsid w:val="00E3501D"/>
    <w:rsid w:val="00E35C2B"/>
    <w:rsid w:val="00E35EF5"/>
    <w:rsid w:val="00E376F4"/>
    <w:rsid w:val="00E37BDE"/>
    <w:rsid w:val="00E37F87"/>
    <w:rsid w:val="00E43773"/>
    <w:rsid w:val="00E439C4"/>
    <w:rsid w:val="00E44118"/>
    <w:rsid w:val="00E44867"/>
    <w:rsid w:val="00E44C49"/>
    <w:rsid w:val="00E45407"/>
    <w:rsid w:val="00E46CCF"/>
    <w:rsid w:val="00E47A56"/>
    <w:rsid w:val="00E503F3"/>
    <w:rsid w:val="00E50602"/>
    <w:rsid w:val="00E519EA"/>
    <w:rsid w:val="00E52284"/>
    <w:rsid w:val="00E5256D"/>
    <w:rsid w:val="00E52CC7"/>
    <w:rsid w:val="00E60BFC"/>
    <w:rsid w:val="00E60F1D"/>
    <w:rsid w:val="00E61300"/>
    <w:rsid w:val="00E619A1"/>
    <w:rsid w:val="00E62B89"/>
    <w:rsid w:val="00E62DDB"/>
    <w:rsid w:val="00E62FF5"/>
    <w:rsid w:val="00E6384F"/>
    <w:rsid w:val="00E64692"/>
    <w:rsid w:val="00E66B8D"/>
    <w:rsid w:val="00E67862"/>
    <w:rsid w:val="00E67BB0"/>
    <w:rsid w:val="00E67BED"/>
    <w:rsid w:val="00E67DA4"/>
    <w:rsid w:val="00E700FE"/>
    <w:rsid w:val="00E70E0D"/>
    <w:rsid w:val="00E71C97"/>
    <w:rsid w:val="00E71CB9"/>
    <w:rsid w:val="00E71F86"/>
    <w:rsid w:val="00E72647"/>
    <w:rsid w:val="00E72E8E"/>
    <w:rsid w:val="00E73FA3"/>
    <w:rsid w:val="00E7579E"/>
    <w:rsid w:val="00E75890"/>
    <w:rsid w:val="00E75CA4"/>
    <w:rsid w:val="00E75DB7"/>
    <w:rsid w:val="00E76D28"/>
    <w:rsid w:val="00E77C7A"/>
    <w:rsid w:val="00E77E94"/>
    <w:rsid w:val="00E800ED"/>
    <w:rsid w:val="00E80175"/>
    <w:rsid w:val="00E80595"/>
    <w:rsid w:val="00E82566"/>
    <w:rsid w:val="00E82880"/>
    <w:rsid w:val="00E82E56"/>
    <w:rsid w:val="00E8413F"/>
    <w:rsid w:val="00E84A91"/>
    <w:rsid w:val="00E84D91"/>
    <w:rsid w:val="00E85B09"/>
    <w:rsid w:val="00E86BE2"/>
    <w:rsid w:val="00E86E5E"/>
    <w:rsid w:val="00E90797"/>
    <w:rsid w:val="00E918B2"/>
    <w:rsid w:val="00E91B4E"/>
    <w:rsid w:val="00E9284D"/>
    <w:rsid w:val="00E97521"/>
    <w:rsid w:val="00E979EC"/>
    <w:rsid w:val="00E97D3D"/>
    <w:rsid w:val="00E97EDE"/>
    <w:rsid w:val="00EA0819"/>
    <w:rsid w:val="00EA0DF9"/>
    <w:rsid w:val="00EA3B09"/>
    <w:rsid w:val="00EA3C6A"/>
    <w:rsid w:val="00EA4097"/>
    <w:rsid w:val="00EA4620"/>
    <w:rsid w:val="00EA4B55"/>
    <w:rsid w:val="00EA5725"/>
    <w:rsid w:val="00EA75B7"/>
    <w:rsid w:val="00EB026A"/>
    <w:rsid w:val="00EB0D4F"/>
    <w:rsid w:val="00EB1B3F"/>
    <w:rsid w:val="00EB29B1"/>
    <w:rsid w:val="00EB2DD8"/>
    <w:rsid w:val="00EB2EE5"/>
    <w:rsid w:val="00EB2F0E"/>
    <w:rsid w:val="00EB3051"/>
    <w:rsid w:val="00EB3530"/>
    <w:rsid w:val="00EB3A75"/>
    <w:rsid w:val="00EB46D8"/>
    <w:rsid w:val="00EB48D9"/>
    <w:rsid w:val="00EB558B"/>
    <w:rsid w:val="00EB6648"/>
    <w:rsid w:val="00EB7296"/>
    <w:rsid w:val="00EC02A2"/>
    <w:rsid w:val="00EC044B"/>
    <w:rsid w:val="00EC0A28"/>
    <w:rsid w:val="00EC0BFD"/>
    <w:rsid w:val="00EC0DDE"/>
    <w:rsid w:val="00EC171E"/>
    <w:rsid w:val="00EC1AEC"/>
    <w:rsid w:val="00EC2BA8"/>
    <w:rsid w:val="00EC2E2A"/>
    <w:rsid w:val="00EC46F0"/>
    <w:rsid w:val="00EC4CBE"/>
    <w:rsid w:val="00EC4F47"/>
    <w:rsid w:val="00EC521C"/>
    <w:rsid w:val="00EC57A1"/>
    <w:rsid w:val="00EC67D5"/>
    <w:rsid w:val="00EC6D01"/>
    <w:rsid w:val="00EC70CD"/>
    <w:rsid w:val="00EC7DEE"/>
    <w:rsid w:val="00ED02C4"/>
    <w:rsid w:val="00ED1600"/>
    <w:rsid w:val="00ED1C07"/>
    <w:rsid w:val="00ED1E28"/>
    <w:rsid w:val="00ED21BD"/>
    <w:rsid w:val="00ED290C"/>
    <w:rsid w:val="00ED329C"/>
    <w:rsid w:val="00ED4C3A"/>
    <w:rsid w:val="00ED53F5"/>
    <w:rsid w:val="00ED54E0"/>
    <w:rsid w:val="00ED68BE"/>
    <w:rsid w:val="00EE06C6"/>
    <w:rsid w:val="00EE39BA"/>
    <w:rsid w:val="00EE44C2"/>
    <w:rsid w:val="00EE525B"/>
    <w:rsid w:val="00EE5797"/>
    <w:rsid w:val="00EE6E44"/>
    <w:rsid w:val="00EE755F"/>
    <w:rsid w:val="00EE7C55"/>
    <w:rsid w:val="00EE7EEA"/>
    <w:rsid w:val="00EF07DD"/>
    <w:rsid w:val="00EF0AF1"/>
    <w:rsid w:val="00EF0B31"/>
    <w:rsid w:val="00EF104E"/>
    <w:rsid w:val="00EF1A7F"/>
    <w:rsid w:val="00EF3A8D"/>
    <w:rsid w:val="00EF3C0C"/>
    <w:rsid w:val="00EF3FFC"/>
    <w:rsid w:val="00EF4424"/>
    <w:rsid w:val="00EF653A"/>
    <w:rsid w:val="00EF6FDB"/>
    <w:rsid w:val="00EF76A2"/>
    <w:rsid w:val="00EF7D89"/>
    <w:rsid w:val="00F01F78"/>
    <w:rsid w:val="00F02A8B"/>
    <w:rsid w:val="00F031EC"/>
    <w:rsid w:val="00F03482"/>
    <w:rsid w:val="00F04590"/>
    <w:rsid w:val="00F06699"/>
    <w:rsid w:val="00F06908"/>
    <w:rsid w:val="00F06E6F"/>
    <w:rsid w:val="00F07017"/>
    <w:rsid w:val="00F0711A"/>
    <w:rsid w:val="00F0762C"/>
    <w:rsid w:val="00F07779"/>
    <w:rsid w:val="00F07A99"/>
    <w:rsid w:val="00F07B9C"/>
    <w:rsid w:val="00F07EFD"/>
    <w:rsid w:val="00F10F55"/>
    <w:rsid w:val="00F11581"/>
    <w:rsid w:val="00F11B51"/>
    <w:rsid w:val="00F127BF"/>
    <w:rsid w:val="00F1302A"/>
    <w:rsid w:val="00F13270"/>
    <w:rsid w:val="00F13676"/>
    <w:rsid w:val="00F140C1"/>
    <w:rsid w:val="00F14F5D"/>
    <w:rsid w:val="00F162D7"/>
    <w:rsid w:val="00F22EC0"/>
    <w:rsid w:val="00F256A6"/>
    <w:rsid w:val="00F25B3B"/>
    <w:rsid w:val="00F25F94"/>
    <w:rsid w:val="00F26FC9"/>
    <w:rsid w:val="00F278A0"/>
    <w:rsid w:val="00F30510"/>
    <w:rsid w:val="00F31E19"/>
    <w:rsid w:val="00F32A69"/>
    <w:rsid w:val="00F32BE9"/>
    <w:rsid w:val="00F330E5"/>
    <w:rsid w:val="00F348B3"/>
    <w:rsid w:val="00F34C98"/>
    <w:rsid w:val="00F353B8"/>
    <w:rsid w:val="00F35D3C"/>
    <w:rsid w:val="00F36618"/>
    <w:rsid w:val="00F36C30"/>
    <w:rsid w:val="00F3713C"/>
    <w:rsid w:val="00F3742A"/>
    <w:rsid w:val="00F42A37"/>
    <w:rsid w:val="00F42E15"/>
    <w:rsid w:val="00F43917"/>
    <w:rsid w:val="00F43BE8"/>
    <w:rsid w:val="00F43EED"/>
    <w:rsid w:val="00F43FDC"/>
    <w:rsid w:val="00F440A0"/>
    <w:rsid w:val="00F44253"/>
    <w:rsid w:val="00F448EA"/>
    <w:rsid w:val="00F44B0C"/>
    <w:rsid w:val="00F44F7A"/>
    <w:rsid w:val="00F4568B"/>
    <w:rsid w:val="00F460B6"/>
    <w:rsid w:val="00F4612B"/>
    <w:rsid w:val="00F50FEB"/>
    <w:rsid w:val="00F51178"/>
    <w:rsid w:val="00F52291"/>
    <w:rsid w:val="00F5235A"/>
    <w:rsid w:val="00F54BF0"/>
    <w:rsid w:val="00F54BF9"/>
    <w:rsid w:val="00F56016"/>
    <w:rsid w:val="00F56299"/>
    <w:rsid w:val="00F56869"/>
    <w:rsid w:val="00F60478"/>
    <w:rsid w:val="00F605DD"/>
    <w:rsid w:val="00F608AC"/>
    <w:rsid w:val="00F6174E"/>
    <w:rsid w:val="00F61B04"/>
    <w:rsid w:val="00F61F01"/>
    <w:rsid w:val="00F62261"/>
    <w:rsid w:val="00F62BD6"/>
    <w:rsid w:val="00F6441E"/>
    <w:rsid w:val="00F64F08"/>
    <w:rsid w:val="00F66832"/>
    <w:rsid w:val="00F66F9E"/>
    <w:rsid w:val="00F67942"/>
    <w:rsid w:val="00F67BD1"/>
    <w:rsid w:val="00F7056D"/>
    <w:rsid w:val="00F708CC"/>
    <w:rsid w:val="00F70D09"/>
    <w:rsid w:val="00F71A58"/>
    <w:rsid w:val="00F71B18"/>
    <w:rsid w:val="00F72E7D"/>
    <w:rsid w:val="00F747E8"/>
    <w:rsid w:val="00F74DD5"/>
    <w:rsid w:val="00F75207"/>
    <w:rsid w:val="00F75768"/>
    <w:rsid w:val="00F76045"/>
    <w:rsid w:val="00F7680B"/>
    <w:rsid w:val="00F80D7F"/>
    <w:rsid w:val="00F84A1F"/>
    <w:rsid w:val="00F85140"/>
    <w:rsid w:val="00F8527C"/>
    <w:rsid w:val="00F855C8"/>
    <w:rsid w:val="00F85F9C"/>
    <w:rsid w:val="00F8746C"/>
    <w:rsid w:val="00F90A5A"/>
    <w:rsid w:val="00F90CA0"/>
    <w:rsid w:val="00F9119F"/>
    <w:rsid w:val="00F9145E"/>
    <w:rsid w:val="00F933DA"/>
    <w:rsid w:val="00F93A27"/>
    <w:rsid w:val="00F93AC7"/>
    <w:rsid w:val="00F94596"/>
    <w:rsid w:val="00F94A25"/>
    <w:rsid w:val="00F95915"/>
    <w:rsid w:val="00F95C98"/>
    <w:rsid w:val="00F95D2C"/>
    <w:rsid w:val="00F97DDD"/>
    <w:rsid w:val="00F97EFB"/>
    <w:rsid w:val="00FA1EE1"/>
    <w:rsid w:val="00FA217F"/>
    <w:rsid w:val="00FA3C02"/>
    <w:rsid w:val="00FA4138"/>
    <w:rsid w:val="00FA63D4"/>
    <w:rsid w:val="00FB036F"/>
    <w:rsid w:val="00FB05B4"/>
    <w:rsid w:val="00FB083F"/>
    <w:rsid w:val="00FB0B03"/>
    <w:rsid w:val="00FB0D20"/>
    <w:rsid w:val="00FB1DB3"/>
    <w:rsid w:val="00FB1EB4"/>
    <w:rsid w:val="00FB269B"/>
    <w:rsid w:val="00FB27C2"/>
    <w:rsid w:val="00FB3E13"/>
    <w:rsid w:val="00FB4C37"/>
    <w:rsid w:val="00FB4C3B"/>
    <w:rsid w:val="00FB6C4E"/>
    <w:rsid w:val="00FC0010"/>
    <w:rsid w:val="00FC26DC"/>
    <w:rsid w:val="00FC29CE"/>
    <w:rsid w:val="00FC2C5D"/>
    <w:rsid w:val="00FC37FA"/>
    <w:rsid w:val="00FC3963"/>
    <w:rsid w:val="00FC47F3"/>
    <w:rsid w:val="00FC72C4"/>
    <w:rsid w:val="00FD0E21"/>
    <w:rsid w:val="00FD1593"/>
    <w:rsid w:val="00FD1B25"/>
    <w:rsid w:val="00FD1E4D"/>
    <w:rsid w:val="00FD3035"/>
    <w:rsid w:val="00FD4840"/>
    <w:rsid w:val="00FD5974"/>
    <w:rsid w:val="00FD71B2"/>
    <w:rsid w:val="00FD7AF6"/>
    <w:rsid w:val="00FD7E68"/>
    <w:rsid w:val="00FE0937"/>
    <w:rsid w:val="00FE0CE5"/>
    <w:rsid w:val="00FE11B5"/>
    <w:rsid w:val="00FE228C"/>
    <w:rsid w:val="00FE23CF"/>
    <w:rsid w:val="00FE4677"/>
    <w:rsid w:val="00FE52F2"/>
    <w:rsid w:val="00FE6FC1"/>
    <w:rsid w:val="00FE7071"/>
    <w:rsid w:val="00FE718B"/>
    <w:rsid w:val="00FF0862"/>
    <w:rsid w:val="00FF1B00"/>
    <w:rsid w:val="00FF38CD"/>
    <w:rsid w:val="00FF5ADE"/>
    <w:rsid w:val="00FF60F4"/>
    <w:rsid w:val="00FF66CD"/>
    <w:rsid w:val="00FF70F7"/>
    <w:rsid w:val="00FF710B"/>
    <w:rsid w:val="00FF71AF"/>
    <w:rsid w:val="00FF7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7BBEFED-810B-4402-88AF-55D95D62E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A6"/>
    <w:rPr>
      <w:sz w:val="24"/>
      <w:szCs w:val="24"/>
      <w:lang w:val="uk-UA" w:eastAsia="ar-SA"/>
    </w:rPr>
  </w:style>
  <w:style w:type="paragraph" w:styleId="1">
    <w:name w:val="heading 1"/>
    <w:basedOn w:val="a"/>
    <w:next w:val="a"/>
    <w:qFormat/>
    <w:rsid w:val="00EE39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EE39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35088F"/>
    <w:pPr>
      <w:keepNext/>
      <w:jc w:val="center"/>
      <w:outlineLvl w:val="7"/>
    </w:pPr>
    <w:rPr>
      <w:b/>
      <w:color w:val="FF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394DA6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394DA6"/>
    <w:rPr>
      <w:rFonts w:ascii="Courier New" w:hAnsi="Courier New" w:cs="Courier New"/>
    </w:rPr>
  </w:style>
  <w:style w:type="character" w:customStyle="1" w:styleId="WW8Num3z2">
    <w:name w:val="WW8Num3z2"/>
    <w:rsid w:val="00394DA6"/>
    <w:rPr>
      <w:rFonts w:ascii="Wingdings" w:hAnsi="Wingdings" w:cs="Times New Roman"/>
    </w:rPr>
  </w:style>
  <w:style w:type="character" w:customStyle="1" w:styleId="WW8Num3z3">
    <w:name w:val="WW8Num3z3"/>
    <w:rsid w:val="00394DA6"/>
    <w:rPr>
      <w:rFonts w:ascii="Symbol" w:hAnsi="Symbol" w:cs="Times New Roman"/>
    </w:rPr>
  </w:style>
  <w:style w:type="character" w:customStyle="1" w:styleId="WW8Num4z1">
    <w:name w:val="WW8Num4z1"/>
    <w:rsid w:val="00394DA6"/>
    <w:rPr>
      <w:rFonts w:ascii="Courier New" w:hAnsi="Courier New" w:cs="Courier New"/>
    </w:rPr>
  </w:style>
  <w:style w:type="character" w:customStyle="1" w:styleId="WW8Num4z2">
    <w:name w:val="WW8Num4z2"/>
    <w:rsid w:val="00394DA6"/>
    <w:rPr>
      <w:rFonts w:ascii="Wingdings" w:hAnsi="Wingdings" w:cs="Times New Roman"/>
    </w:rPr>
  </w:style>
  <w:style w:type="character" w:customStyle="1" w:styleId="WW8Num4z3">
    <w:name w:val="WW8Num4z3"/>
    <w:rsid w:val="00394DA6"/>
    <w:rPr>
      <w:rFonts w:ascii="Symbol" w:hAnsi="Symbol" w:cs="Times New Roman"/>
    </w:rPr>
  </w:style>
  <w:style w:type="character" w:customStyle="1" w:styleId="WW8Num5z0">
    <w:name w:val="WW8Num5z0"/>
    <w:rsid w:val="00394DA6"/>
    <w:rPr>
      <w:rFonts w:ascii="Symbol" w:hAnsi="Symbol"/>
    </w:rPr>
  </w:style>
  <w:style w:type="character" w:customStyle="1" w:styleId="WW8Num5z1">
    <w:name w:val="WW8Num5z1"/>
    <w:rsid w:val="00394DA6"/>
    <w:rPr>
      <w:rFonts w:ascii="Courier New" w:hAnsi="Courier New"/>
    </w:rPr>
  </w:style>
  <w:style w:type="character" w:customStyle="1" w:styleId="WW8Num5z2">
    <w:name w:val="WW8Num5z2"/>
    <w:rsid w:val="00394DA6"/>
    <w:rPr>
      <w:rFonts w:ascii="Wingdings" w:hAnsi="Wingdings"/>
    </w:rPr>
  </w:style>
  <w:style w:type="character" w:customStyle="1" w:styleId="WW8Num6z0">
    <w:name w:val="WW8Num6z0"/>
    <w:rsid w:val="00394DA6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394DA6"/>
    <w:rPr>
      <w:rFonts w:ascii="Courier New" w:hAnsi="Courier New" w:cs="Courier New"/>
    </w:rPr>
  </w:style>
  <w:style w:type="character" w:customStyle="1" w:styleId="WW8Num6z2">
    <w:name w:val="WW8Num6z2"/>
    <w:rsid w:val="00394DA6"/>
    <w:rPr>
      <w:rFonts w:ascii="Wingdings" w:hAnsi="Wingdings"/>
    </w:rPr>
  </w:style>
  <w:style w:type="character" w:customStyle="1" w:styleId="WW8Num6z3">
    <w:name w:val="WW8Num6z3"/>
    <w:rsid w:val="00394DA6"/>
    <w:rPr>
      <w:rFonts w:ascii="Symbol" w:hAnsi="Symbol"/>
    </w:rPr>
  </w:style>
  <w:style w:type="character" w:customStyle="1" w:styleId="WW8Num7z0">
    <w:name w:val="WW8Num7z0"/>
    <w:rsid w:val="00394DA6"/>
    <w:rPr>
      <w:rFonts w:ascii="Symbol" w:hAnsi="Symbol"/>
    </w:rPr>
  </w:style>
  <w:style w:type="character" w:customStyle="1" w:styleId="WW8Num7z1">
    <w:name w:val="WW8Num7z1"/>
    <w:rsid w:val="00394DA6"/>
    <w:rPr>
      <w:rFonts w:ascii="Courier New" w:hAnsi="Courier New" w:cs="Courier New"/>
    </w:rPr>
  </w:style>
  <w:style w:type="character" w:customStyle="1" w:styleId="WW8Num7z2">
    <w:name w:val="WW8Num7z2"/>
    <w:rsid w:val="00394DA6"/>
    <w:rPr>
      <w:rFonts w:ascii="Wingdings" w:hAnsi="Wingdings"/>
    </w:rPr>
  </w:style>
  <w:style w:type="character" w:customStyle="1" w:styleId="WW8Num8z0">
    <w:name w:val="WW8Num8z0"/>
    <w:rsid w:val="00394DA6"/>
    <w:rPr>
      <w:rFonts w:ascii="Times New Roman" w:eastAsia="Times New Roman" w:hAnsi="Times New Roman"/>
    </w:rPr>
  </w:style>
  <w:style w:type="character" w:customStyle="1" w:styleId="WW8Num8z1">
    <w:name w:val="WW8Num8z1"/>
    <w:rsid w:val="00394DA6"/>
    <w:rPr>
      <w:rFonts w:ascii="Courier New" w:hAnsi="Courier New" w:cs="Courier New"/>
    </w:rPr>
  </w:style>
  <w:style w:type="character" w:customStyle="1" w:styleId="WW8Num8z2">
    <w:name w:val="WW8Num8z2"/>
    <w:rsid w:val="00394DA6"/>
    <w:rPr>
      <w:rFonts w:ascii="Wingdings" w:hAnsi="Wingdings" w:cs="Wingdings"/>
    </w:rPr>
  </w:style>
  <w:style w:type="character" w:customStyle="1" w:styleId="WW8Num8z3">
    <w:name w:val="WW8Num8z3"/>
    <w:rsid w:val="00394DA6"/>
    <w:rPr>
      <w:rFonts w:ascii="Symbol" w:hAnsi="Symbol" w:cs="Symbol"/>
    </w:rPr>
  </w:style>
  <w:style w:type="character" w:customStyle="1" w:styleId="WW8Num9z0">
    <w:name w:val="WW8Num9z0"/>
    <w:rsid w:val="00394DA6"/>
    <w:rPr>
      <w:rFonts w:ascii="Symbol" w:hAnsi="Symbol"/>
    </w:rPr>
  </w:style>
  <w:style w:type="character" w:customStyle="1" w:styleId="WW8Num9z1">
    <w:name w:val="WW8Num9z1"/>
    <w:rsid w:val="00394DA6"/>
    <w:rPr>
      <w:rFonts w:ascii="Courier New" w:hAnsi="Courier New"/>
    </w:rPr>
  </w:style>
  <w:style w:type="character" w:customStyle="1" w:styleId="WW8Num9z2">
    <w:name w:val="WW8Num9z2"/>
    <w:rsid w:val="00394DA6"/>
    <w:rPr>
      <w:rFonts w:ascii="Wingdings" w:hAnsi="Wingdings"/>
    </w:rPr>
  </w:style>
  <w:style w:type="character" w:customStyle="1" w:styleId="WW8Num10z0">
    <w:name w:val="WW8Num10z0"/>
    <w:rsid w:val="00394DA6"/>
    <w:rPr>
      <w:rFonts w:ascii="Symbol" w:hAnsi="Symbol"/>
    </w:rPr>
  </w:style>
  <w:style w:type="character" w:customStyle="1" w:styleId="WW8Num10z1">
    <w:name w:val="WW8Num10z1"/>
    <w:rsid w:val="00394DA6"/>
    <w:rPr>
      <w:rFonts w:ascii="Courier New" w:hAnsi="Courier New" w:cs="Courier New"/>
    </w:rPr>
  </w:style>
  <w:style w:type="character" w:customStyle="1" w:styleId="WW8Num10z2">
    <w:name w:val="WW8Num10z2"/>
    <w:rsid w:val="00394DA6"/>
    <w:rPr>
      <w:rFonts w:ascii="Wingdings" w:hAnsi="Wingdings"/>
    </w:rPr>
  </w:style>
  <w:style w:type="character" w:customStyle="1" w:styleId="WW8Num11z0">
    <w:name w:val="WW8Num11z0"/>
    <w:rsid w:val="00394DA6"/>
    <w:rPr>
      <w:rFonts w:ascii="Symbol" w:hAnsi="Symbol"/>
    </w:rPr>
  </w:style>
  <w:style w:type="character" w:customStyle="1" w:styleId="WW8Num11z1">
    <w:name w:val="WW8Num11z1"/>
    <w:rsid w:val="00394DA6"/>
    <w:rPr>
      <w:rFonts w:ascii="Courier New" w:hAnsi="Courier New" w:cs="Courier New"/>
    </w:rPr>
  </w:style>
  <w:style w:type="character" w:customStyle="1" w:styleId="WW8Num11z2">
    <w:name w:val="WW8Num11z2"/>
    <w:rsid w:val="00394DA6"/>
    <w:rPr>
      <w:rFonts w:ascii="Wingdings" w:hAnsi="Wingdings"/>
    </w:rPr>
  </w:style>
  <w:style w:type="character" w:customStyle="1" w:styleId="WW8Num12z1">
    <w:name w:val="WW8Num12z1"/>
    <w:rsid w:val="00394DA6"/>
    <w:rPr>
      <w:rFonts w:ascii="Courier New" w:hAnsi="Courier New" w:cs="Courier New"/>
    </w:rPr>
  </w:style>
  <w:style w:type="character" w:customStyle="1" w:styleId="WW8Num12z2">
    <w:name w:val="WW8Num12z2"/>
    <w:rsid w:val="00394DA6"/>
    <w:rPr>
      <w:rFonts w:ascii="Wingdings" w:hAnsi="Wingdings" w:cs="Times New Roman"/>
    </w:rPr>
  </w:style>
  <w:style w:type="character" w:customStyle="1" w:styleId="WW8Num12z3">
    <w:name w:val="WW8Num12z3"/>
    <w:rsid w:val="00394DA6"/>
    <w:rPr>
      <w:rFonts w:ascii="Symbol" w:hAnsi="Symbol" w:cs="Times New Roman"/>
    </w:rPr>
  </w:style>
  <w:style w:type="character" w:customStyle="1" w:styleId="WW8Num13z0">
    <w:name w:val="WW8Num13z0"/>
    <w:rsid w:val="00394DA6"/>
    <w:rPr>
      <w:rFonts w:ascii="Symbol" w:hAnsi="Symbol"/>
    </w:rPr>
  </w:style>
  <w:style w:type="character" w:customStyle="1" w:styleId="WW8Num13z1">
    <w:name w:val="WW8Num13z1"/>
    <w:rsid w:val="00394DA6"/>
    <w:rPr>
      <w:rFonts w:ascii="Courier New" w:hAnsi="Courier New" w:cs="Courier New"/>
    </w:rPr>
  </w:style>
  <w:style w:type="character" w:customStyle="1" w:styleId="WW8Num13z2">
    <w:name w:val="WW8Num13z2"/>
    <w:rsid w:val="00394DA6"/>
    <w:rPr>
      <w:rFonts w:ascii="Wingdings" w:hAnsi="Wingdings"/>
    </w:rPr>
  </w:style>
  <w:style w:type="character" w:customStyle="1" w:styleId="WW8Num14z0">
    <w:name w:val="WW8Num14z0"/>
    <w:rsid w:val="00394DA6"/>
    <w:rPr>
      <w:rFonts w:ascii="Symbol" w:hAnsi="Symbol"/>
    </w:rPr>
  </w:style>
  <w:style w:type="character" w:customStyle="1" w:styleId="WW8Num14z1">
    <w:name w:val="WW8Num14z1"/>
    <w:rsid w:val="00394DA6"/>
    <w:rPr>
      <w:rFonts w:ascii="Courier New" w:hAnsi="Courier New" w:cs="Courier New"/>
    </w:rPr>
  </w:style>
  <w:style w:type="character" w:customStyle="1" w:styleId="WW8Num14z2">
    <w:name w:val="WW8Num14z2"/>
    <w:rsid w:val="00394DA6"/>
    <w:rPr>
      <w:rFonts w:ascii="Wingdings" w:hAnsi="Wingdings"/>
    </w:rPr>
  </w:style>
  <w:style w:type="character" w:customStyle="1" w:styleId="WW8Num15z0">
    <w:name w:val="WW8Num15z0"/>
    <w:rsid w:val="00394DA6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394DA6"/>
    <w:rPr>
      <w:rFonts w:ascii="Courier New" w:hAnsi="Courier New" w:cs="Courier New"/>
    </w:rPr>
  </w:style>
  <w:style w:type="character" w:customStyle="1" w:styleId="WW8Num15z2">
    <w:name w:val="WW8Num15z2"/>
    <w:rsid w:val="00394DA6"/>
    <w:rPr>
      <w:rFonts w:ascii="Wingdings" w:hAnsi="Wingdings"/>
    </w:rPr>
  </w:style>
  <w:style w:type="character" w:customStyle="1" w:styleId="WW8Num15z3">
    <w:name w:val="WW8Num15z3"/>
    <w:rsid w:val="00394DA6"/>
    <w:rPr>
      <w:rFonts w:ascii="Symbol" w:hAnsi="Symbol"/>
    </w:rPr>
  </w:style>
  <w:style w:type="character" w:customStyle="1" w:styleId="WW8Num16z0">
    <w:name w:val="WW8Num16z0"/>
    <w:rsid w:val="00394DA6"/>
    <w:rPr>
      <w:rFonts w:ascii="Symbol" w:hAnsi="Symbol"/>
    </w:rPr>
  </w:style>
  <w:style w:type="character" w:customStyle="1" w:styleId="WW8Num16z1">
    <w:name w:val="WW8Num16z1"/>
    <w:rsid w:val="00394DA6"/>
    <w:rPr>
      <w:rFonts w:ascii="Courier New" w:hAnsi="Courier New" w:cs="Courier New"/>
    </w:rPr>
  </w:style>
  <w:style w:type="character" w:customStyle="1" w:styleId="WW8Num16z2">
    <w:name w:val="WW8Num16z2"/>
    <w:rsid w:val="00394DA6"/>
    <w:rPr>
      <w:rFonts w:ascii="Wingdings" w:hAnsi="Wingdings"/>
    </w:rPr>
  </w:style>
  <w:style w:type="character" w:customStyle="1" w:styleId="WW8Num17z0">
    <w:name w:val="WW8Num17z0"/>
    <w:rsid w:val="00394DA6"/>
    <w:rPr>
      <w:rFonts w:ascii="Symbol" w:hAnsi="Symbol"/>
    </w:rPr>
  </w:style>
  <w:style w:type="character" w:customStyle="1" w:styleId="WW8Num17z1">
    <w:name w:val="WW8Num17z1"/>
    <w:rsid w:val="00394DA6"/>
    <w:rPr>
      <w:rFonts w:ascii="Courier New" w:hAnsi="Courier New" w:cs="Courier New"/>
    </w:rPr>
  </w:style>
  <w:style w:type="character" w:customStyle="1" w:styleId="WW8Num17z2">
    <w:name w:val="WW8Num17z2"/>
    <w:rsid w:val="00394DA6"/>
    <w:rPr>
      <w:rFonts w:ascii="Wingdings" w:hAnsi="Wingdings"/>
    </w:rPr>
  </w:style>
  <w:style w:type="character" w:customStyle="1" w:styleId="WW8Num18z0">
    <w:name w:val="WW8Num18z0"/>
    <w:rsid w:val="00394DA6"/>
    <w:rPr>
      <w:rFonts w:ascii="Symbol" w:hAnsi="Symbol"/>
    </w:rPr>
  </w:style>
  <w:style w:type="character" w:customStyle="1" w:styleId="WW8Num18z1">
    <w:name w:val="WW8Num18z1"/>
    <w:rsid w:val="00394DA6"/>
    <w:rPr>
      <w:rFonts w:ascii="Courier New" w:hAnsi="Courier New" w:cs="Courier New"/>
    </w:rPr>
  </w:style>
  <w:style w:type="character" w:customStyle="1" w:styleId="WW8Num18z2">
    <w:name w:val="WW8Num18z2"/>
    <w:rsid w:val="00394DA6"/>
    <w:rPr>
      <w:rFonts w:ascii="Wingdings" w:hAnsi="Wingdings"/>
    </w:rPr>
  </w:style>
  <w:style w:type="character" w:customStyle="1" w:styleId="WW8Num19z0">
    <w:name w:val="WW8Num19z0"/>
    <w:rsid w:val="00394DA6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394DA6"/>
    <w:rPr>
      <w:rFonts w:ascii="Courier New" w:hAnsi="Courier New" w:cs="Courier New"/>
    </w:rPr>
  </w:style>
  <w:style w:type="character" w:customStyle="1" w:styleId="WW8Num19z2">
    <w:name w:val="WW8Num19z2"/>
    <w:rsid w:val="00394DA6"/>
    <w:rPr>
      <w:rFonts w:ascii="Wingdings" w:hAnsi="Wingdings"/>
    </w:rPr>
  </w:style>
  <w:style w:type="character" w:customStyle="1" w:styleId="WW8Num19z3">
    <w:name w:val="WW8Num19z3"/>
    <w:rsid w:val="00394DA6"/>
    <w:rPr>
      <w:rFonts w:ascii="Symbol" w:hAnsi="Symbol"/>
    </w:rPr>
  </w:style>
  <w:style w:type="character" w:customStyle="1" w:styleId="10">
    <w:name w:val="Основной шрифт абзаца1"/>
    <w:rsid w:val="00394DA6"/>
  </w:style>
  <w:style w:type="character" w:styleId="a3">
    <w:name w:val="Hyperlink"/>
    <w:rsid w:val="00394DA6"/>
    <w:rPr>
      <w:color w:val="0000FF"/>
      <w:u w:val="single"/>
    </w:rPr>
  </w:style>
  <w:style w:type="character" w:styleId="a4">
    <w:name w:val="Strong"/>
    <w:qFormat/>
    <w:rsid w:val="00394DA6"/>
    <w:rPr>
      <w:b/>
      <w:bCs/>
    </w:rPr>
  </w:style>
  <w:style w:type="character" w:customStyle="1" w:styleId="3">
    <w:name w:val="Знак Знак3"/>
    <w:rsid w:val="00394DA6"/>
    <w:rPr>
      <w:sz w:val="16"/>
      <w:szCs w:val="16"/>
      <w:lang w:val="uk-UA" w:eastAsia="ar-SA" w:bidi="ar-SA"/>
    </w:rPr>
  </w:style>
  <w:style w:type="character" w:styleId="a5">
    <w:name w:val="page number"/>
    <w:basedOn w:val="10"/>
    <w:rsid w:val="00394DA6"/>
  </w:style>
  <w:style w:type="paragraph" w:customStyle="1" w:styleId="a6">
    <w:name w:val="Заголовок"/>
    <w:basedOn w:val="a"/>
    <w:next w:val="a7"/>
    <w:rsid w:val="00394DA6"/>
    <w:pPr>
      <w:keepNext/>
      <w:spacing w:before="240" w:after="120"/>
    </w:pPr>
    <w:rPr>
      <w:rFonts w:ascii="Arial" w:eastAsia="DejaVu Sans" w:hAnsi="Arial" w:cs="Tahoma"/>
      <w:sz w:val="28"/>
      <w:szCs w:val="28"/>
    </w:rPr>
  </w:style>
  <w:style w:type="paragraph" w:styleId="a7">
    <w:name w:val="Body Text"/>
    <w:basedOn w:val="a"/>
    <w:link w:val="a8"/>
    <w:rsid w:val="00394DA6"/>
    <w:pPr>
      <w:jc w:val="both"/>
    </w:pPr>
    <w:rPr>
      <w:b/>
      <w:sz w:val="28"/>
    </w:rPr>
  </w:style>
  <w:style w:type="paragraph" w:styleId="a9">
    <w:name w:val="List"/>
    <w:basedOn w:val="a7"/>
    <w:rsid w:val="00394DA6"/>
    <w:rPr>
      <w:rFonts w:cs="Tahoma"/>
    </w:rPr>
  </w:style>
  <w:style w:type="paragraph" w:customStyle="1" w:styleId="11">
    <w:name w:val="Назва1"/>
    <w:basedOn w:val="a"/>
    <w:rsid w:val="00394DA6"/>
    <w:pPr>
      <w:suppressLineNumbers/>
      <w:spacing w:before="120" w:after="120"/>
    </w:pPr>
    <w:rPr>
      <w:rFonts w:cs="Tahoma"/>
      <w:i/>
      <w:iCs/>
    </w:rPr>
  </w:style>
  <w:style w:type="paragraph" w:customStyle="1" w:styleId="aa">
    <w:name w:val="Покажчик"/>
    <w:basedOn w:val="a"/>
    <w:rsid w:val="00394DA6"/>
    <w:pPr>
      <w:suppressLineNumbers/>
    </w:pPr>
    <w:rPr>
      <w:rFonts w:cs="Tahoma"/>
    </w:rPr>
  </w:style>
  <w:style w:type="paragraph" w:styleId="ab">
    <w:name w:val="Body Text Indent"/>
    <w:basedOn w:val="a"/>
    <w:link w:val="ac"/>
    <w:rsid w:val="00394DA6"/>
    <w:pPr>
      <w:ind w:firstLine="720"/>
      <w:jc w:val="both"/>
    </w:pPr>
    <w:rPr>
      <w:sz w:val="28"/>
      <w:szCs w:val="28"/>
    </w:rPr>
  </w:style>
  <w:style w:type="paragraph" w:customStyle="1" w:styleId="22">
    <w:name w:val="Основной текст с отступом 22"/>
    <w:basedOn w:val="a"/>
    <w:rsid w:val="00394DA6"/>
    <w:pPr>
      <w:ind w:firstLine="700"/>
      <w:jc w:val="both"/>
    </w:pPr>
    <w:rPr>
      <w:sz w:val="28"/>
    </w:rPr>
  </w:style>
  <w:style w:type="paragraph" w:customStyle="1" w:styleId="21">
    <w:name w:val="Основной текст 21"/>
    <w:basedOn w:val="a"/>
    <w:rsid w:val="00394DA6"/>
    <w:pPr>
      <w:spacing w:after="120" w:line="480" w:lineRule="auto"/>
    </w:pPr>
  </w:style>
  <w:style w:type="paragraph" w:customStyle="1" w:styleId="32">
    <w:name w:val="Основной текст 32"/>
    <w:basedOn w:val="a"/>
    <w:rsid w:val="00394DA6"/>
    <w:pPr>
      <w:spacing w:after="120"/>
    </w:pPr>
    <w:rPr>
      <w:sz w:val="16"/>
      <w:szCs w:val="16"/>
    </w:rPr>
  </w:style>
  <w:style w:type="paragraph" w:customStyle="1" w:styleId="31">
    <w:name w:val="Основной текст с отступом 31"/>
    <w:basedOn w:val="a"/>
    <w:rsid w:val="00394DA6"/>
    <w:pPr>
      <w:spacing w:after="120"/>
      <w:ind w:left="283"/>
    </w:pPr>
    <w:rPr>
      <w:sz w:val="16"/>
      <w:szCs w:val="16"/>
    </w:rPr>
  </w:style>
  <w:style w:type="paragraph" w:customStyle="1" w:styleId="Iniiaiieoaeno">
    <w:name w:val="Iniiaiie oaeno"/>
    <w:basedOn w:val="a"/>
    <w:rsid w:val="00394DA6"/>
    <w:pPr>
      <w:suppressAutoHyphens/>
      <w:overflowPunct w:val="0"/>
      <w:autoSpaceDE w:val="0"/>
      <w:spacing w:line="228" w:lineRule="auto"/>
      <w:jc w:val="both"/>
    </w:pPr>
    <w:rPr>
      <w:sz w:val="28"/>
      <w:szCs w:val="28"/>
      <w:lang w:val="en-US"/>
    </w:rPr>
  </w:style>
  <w:style w:type="paragraph" w:customStyle="1" w:styleId="12">
    <w:name w:val="Текст1"/>
    <w:basedOn w:val="a"/>
    <w:rsid w:val="00394DA6"/>
    <w:rPr>
      <w:rFonts w:ascii="Courier New" w:hAnsi="Courier New" w:cs="Courier New"/>
      <w:sz w:val="20"/>
      <w:szCs w:val="20"/>
      <w:lang w:val="ru-RU"/>
    </w:rPr>
  </w:style>
  <w:style w:type="paragraph" w:styleId="ad">
    <w:name w:val="Title"/>
    <w:basedOn w:val="a"/>
    <w:next w:val="ae"/>
    <w:qFormat/>
    <w:rsid w:val="00394DA6"/>
    <w:pPr>
      <w:autoSpaceDE w:val="0"/>
      <w:jc w:val="center"/>
    </w:pPr>
    <w:rPr>
      <w:b/>
      <w:i/>
      <w:sz w:val="32"/>
      <w:szCs w:val="20"/>
    </w:rPr>
  </w:style>
  <w:style w:type="paragraph" w:styleId="ae">
    <w:name w:val="Subtitle"/>
    <w:basedOn w:val="a6"/>
    <w:next w:val="a7"/>
    <w:qFormat/>
    <w:rsid w:val="00394DA6"/>
    <w:pPr>
      <w:jc w:val="center"/>
    </w:pPr>
    <w:rPr>
      <w:i/>
      <w:iCs/>
    </w:rPr>
  </w:style>
  <w:style w:type="paragraph" w:customStyle="1" w:styleId="13">
    <w:name w:val="Обычный1"/>
    <w:rsid w:val="00394DA6"/>
    <w:pPr>
      <w:suppressAutoHyphens/>
      <w:autoSpaceDE w:val="0"/>
    </w:pPr>
    <w:rPr>
      <w:rFonts w:eastAsia="Arial"/>
      <w:lang w:eastAsia="ar-SA"/>
    </w:rPr>
  </w:style>
  <w:style w:type="paragraph" w:customStyle="1" w:styleId="af">
    <w:name w:val="Знак Знак 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af0">
    <w:name w:val="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styleId="af1">
    <w:name w:val="header"/>
    <w:basedOn w:val="a"/>
    <w:link w:val="af2"/>
    <w:rsid w:val="00394DA6"/>
    <w:pPr>
      <w:tabs>
        <w:tab w:val="center" w:pos="4153"/>
        <w:tab w:val="right" w:pos="8306"/>
      </w:tabs>
    </w:pPr>
  </w:style>
  <w:style w:type="paragraph" w:customStyle="1" w:styleId="14">
    <w:name w:val="Знак Знак Знак Знак Знак Знак1 Знак Знак Знак Знак Знак Знак Знак Знак Знак Знак Знак Знак 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par">
    <w:name w:val="par"/>
    <w:basedOn w:val="a"/>
    <w:rsid w:val="00394DA6"/>
    <w:pPr>
      <w:autoSpaceDE w:val="0"/>
      <w:spacing w:before="100" w:after="100"/>
    </w:pPr>
    <w:rPr>
      <w:szCs w:val="20"/>
      <w:lang w:val="ru-RU"/>
    </w:rPr>
  </w:style>
  <w:style w:type="paragraph" w:styleId="af3">
    <w:name w:val="Balloon Text"/>
    <w:basedOn w:val="a"/>
    <w:rsid w:val="00394DA6"/>
    <w:rPr>
      <w:rFonts w:ascii="Tahoma" w:hAnsi="Tahoma" w:cs="Tahoma"/>
      <w:sz w:val="16"/>
      <w:szCs w:val="16"/>
    </w:rPr>
  </w:style>
  <w:style w:type="paragraph" w:customStyle="1" w:styleId="15">
    <w:name w:val="Название объекта1"/>
    <w:basedOn w:val="a"/>
    <w:next w:val="a"/>
    <w:rsid w:val="00394DA6"/>
    <w:pPr>
      <w:jc w:val="center"/>
    </w:pPr>
    <w:rPr>
      <w:b/>
      <w:bCs/>
    </w:rPr>
  </w:style>
  <w:style w:type="paragraph" w:customStyle="1" w:styleId="16">
    <w:name w:val="Цитата1"/>
    <w:basedOn w:val="a"/>
    <w:rsid w:val="00394DA6"/>
    <w:pPr>
      <w:tabs>
        <w:tab w:val="left" w:pos="5529"/>
      </w:tabs>
      <w:ind w:left="567" w:right="4364"/>
      <w:jc w:val="both"/>
    </w:pPr>
    <w:rPr>
      <w:i/>
      <w:iCs/>
      <w:szCs w:val="20"/>
    </w:rPr>
  </w:style>
  <w:style w:type="paragraph" w:customStyle="1" w:styleId="af4">
    <w:name w:val="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 Знак Знак Знак Знак Знак Знак Знак Знак Знак Знак1 Знак Знак Знак Знак Знак Знак1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Iacaaiea">
    <w:name w:val="Iacaaiea"/>
    <w:basedOn w:val="a"/>
    <w:rsid w:val="00394DA6"/>
    <w:pPr>
      <w:suppressAutoHyphens/>
      <w:autoSpaceDE w:val="0"/>
      <w:spacing w:line="228" w:lineRule="auto"/>
      <w:jc w:val="center"/>
    </w:pPr>
    <w:rPr>
      <w:b/>
      <w:bCs/>
      <w:i/>
      <w:iCs/>
      <w:sz w:val="32"/>
      <w:szCs w:val="32"/>
      <w:lang w:val="en-US"/>
    </w:rPr>
  </w:style>
  <w:style w:type="paragraph" w:customStyle="1" w:styleId="17">
    <w:name w:val="Знак Знак1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2">
    <w:name w:val="Знак Знак2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styleId="HTML">
    <w:name w:val="HTML Preformatted"/>
    <w:basedOn w:val="a"/>
    <w:rsid w:val="00394D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  <w:lang w:val="ru-RU"/>
    </w:rPr>
  </w:style>
  <w:style w:type="paragraph" w:styleId="af5">
    <w:name w:val="Normal (Web)"/>
    <w:basedOn w:val="a"/>
    <w:rsid w:val="00394DA6"/>
    <w:pPr>
      <w:spacing w:before="280" w:after="280"/>
    </w:pPr>
    <w:rPr>
      <w:lang w:val="ru-RU"/>
    </w:rPr>
  </w:style>
  <w:style w:type="paragraph" w:customStyle="1" w:styleId="af6">
    <w:name w:val="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5">
    <w:name w:val="Знак Знак5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af7">
    <w:name w:val="Таблица"/>
    <w:basedOn w:val="a"/>
    <w:rsid w:val="00394DA6"/>
    <w:rPr>
      <w:szCs w:val="20"/>
    </w:rPr>
  </w:style>
  <w:style w:type="paragraph" w:customStyle="1" w:styleId="18">
    <w:name w:val="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19">
    <w:name w:val="Знак Знак Знак Знак Знак Знак Знак Знак Знак Знак Знак Знак Знак1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111">
    <w:name w:val="Знак Знак Знак Знак Знак Знак1 Знак Знак Знак Знак Знак Знак Знак Знак Знак Знак Знак Знак Знак Знак Знак Знак Знак Знак Знак Знак1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310">
    <w:name w:val="Основной текст 31"/>
    <w:basedOn w:val="a"/>
    <w:rsid w:val="00394DA6"/>
    <w:pPr>
      <w:suppressAutoHyphens/>
      <w:jc w:val="both"/>
    </w:pPr>
    <w:rPr>
      <w:rFonts w:cs="Calibri"/>
      <w:sz w:val="28"/>
    </w:rPr>
  </w:style>
  <w:style w:type="paragraph" w:customStyle="1" w:styleId="210">
    <w:name w:val="Основной текст с отступом 21"/>
    <w:basedOn w:val="a"/>
    <w:rsid w:val="00394DA6"/>
    <w:pPr>
      <w:suppressAutoHyphens/>
      <w:ind w:firstLine="720"/>
      <w:jc w:val="both"/>
    </w:pPr>
    <w:rPr>
      <w:rFonts w:cs="Calibri"/>
      <w:sz w:val="28"/>
    </w:rPr>
  </w:style>
  <w:style w:type="paragraph" w:customStyle="1" w:styleId="af8">
    <w:name w:val="Знак Знак Знак Знак Знак Знак 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20">
    <w:name w:val="сновной текст с отступом 2"/>
    <w:basedOn w:val="a"/>
    <w:rsid w:val="00394DA6"/>
    <w:pPr>
      <w:tabs>
        <w:tab w:val="left" w:pos="8364"/>
      </w:tabs>
      <w:ind w:firstLine="709"/>
      <w:jc w:val="both"/>
    </w:pPr>
    <w:rPr>
      <w:sz w:val="28"/>
      <w:szCs w:val="20"/>
    </w:rPr>
  </w:style>
  <w:style w:type="paragraph" w:customStyle="1" w:styleId="af9">
    <w:name w:val="Знак 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394DA6"/>
    <w:rPr>
      <w:rFonts w:ascii="Verdana" w:hAnsi="Verdana" w:cs="Verdana"/>
      <w:sz w:val="20"/>
      <w:szCs w:val="20"/>
      <w:lang w:val="en-US"/>
    </w:rPr>
  </w:style>
  <w:style w:type="paragraph" w:customStyle="1" w:styleId="afa">
    <w:name w:val="Вміст таблиці"/>
    <w:basedOn w:val="a"/>
    <w:rsid w:val="00394DA6"/>
    <w:pPr>
      <w:suppressLineNumbers/>
    </w:pPr>
  </w:style>
  <w:style w:type="paragraph" w:customStyle="1" w:styleId="afb">
    <w:name w:val="Заголовок таблиці"/>
    <w:basedOn w:val="afa"/>
    <w:rsid w:val="00394DA6"/>
    <w:pPr>
      <w:jc w:val="center"/>
    </w:pPr>
    <w:rPr>
      <w:b/>
      <w:bCs/>
    </w:rPr>
  </w:style>
  <w:style w:type="paragraph" w:styleId="afc">
    <w:name w:val="footer"/>
    <w:basedOn w:val="a"/>
    <w:rsid w:val="00F06908"/>
    <w:pPr>
      <w:tabs>
        <w:tab w:val="center" w:pos="4677"/>
        <w:tab w:val="right" w:pos="9355"/>
      </w:tabs>
    </w:pPr>
  </w:style>
  <w:style w:type="paragraph" w:styleId="23">
    <w:name w:val="Body Text Indent 2"/>
    <w:basedOn w:val="a"/>
    <w:link w:val="24"/>
    <w:rsid w:val="009E7BB1"/>
    <w:pPr>
      <w:spacing w:after="120" w:line="480" w:lineRule="auto"/>
      <w:ind w:left="283"/>
    </w:pPr>
  </w:style>
  <w:style w:type="paragraph" w:customStyle="1" w:styleId="afd">
    <w:name w:val="Знак Знак Знак Знак"/>
    <w:basedOn w:val="a"/>
    <w:rsid w:val="009E7BB1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B10F6A"/>
    <w:pPr>
      <w:spacing w:after="120"/>
    </w:pPr>
    <w:rPr>
      <w:sz w:val="16"/>
      <w:szCs w:val="16"/>
    </w:rPr>
  </w:style>
  <w:style w:type="paragraph" w:styleId="33">
    <w:name w:val="Body Text Indent 3"/>
    <w:basedOn w:val="a"/>
    <w:link w:val="34"/>
    <w:uiPriority w:val="99"/>
    <w:rsid w:val="00B10F6A"/>
    <w:pPr>
      <w:spacing w:after="120"/>
      <w:ind w:left="283"/>
    </w:pPr>
    <w:rPr>
      <w:sz w:val="16"/>
      <w:szCs w:val="16"/>
    </w:rPr>
  </w:style>
  <w:style w:type="paragraph" w:styleId="afe">
    <w:name w:val="Block Text"/>
    <w:basedOn w:val="a"/>
    <w:rsid w:val="00B10F6A"/>
    <w:pPr>
      <w:tabs>
        <w:tab w:val="left" w:pos="5529"/>
      </w:tabs>
      <w:ind w:left="567" w:right="4364"/>
      <w:jc w:val="both"/>
    </w:pPr>
    <w:rPr>
      <w:i/>
      <w:iCs/>
      <w:szCs w:val="20"/>
      <w:lang w:eastAsia="ru-RU"/>
    </w:rPr>
  </w:style>
  <w:style w:type="paragraph" w:customStyle="1" w:styleId="aff">
    <w:name w:val="отменить формат"/>
    <w:basedOn w:val="30"/>
    <w:rsid w:val="00644ADE"/>
    <w:pPr>
      <w:ind w:firstLine="522"/>
      <w:jc w:val="both"/>
    </w:pPr>
  </w:style>
  <w:style w:type="paragraph" w:customStyle="1" w:styleId="1a">
    <w:name w:val="1"/>
    <w:basedOn w:val="a"/>
    <w:rsid w:val="006A6B2F"/>
    <w:rPr>
      <w:rFonts w:ascii="Verdana" w:hAnsi="Verdana" w:cs="Verdana"/>
      <w:sz w:val="20"/>
      <w:szCs w:val="20"/>
      <w:lang w:val="en-US" w:eastAsia="en-US"/>
    </w:rPr>
  </w:style>
  <w:style w:type="paragraph" w:customStyle="1" w:styleId="BodyText2">
    <w:name w:val="Body Text 2.Подпись к рис."/>
    <w:rsid w:val="0035088F"/>
    <w:pPr>
      <w:autoSpaceDE w:val="0"/>
      <w:autoSpaceDN w:val="0"/>
      <w:ind w:left="1134"/>
    </w:pPr>
    <w:rPr>
      <w:sz w:val="28"/>
      <w:szCs w:val="28"/>
      <w:lang w:val="uk-UA" w:eastAsia="uk-UA"/>
    </w:rPr>
  </w:style>
  <w:style w:type="paragraph" w:styleId="25">
    <w:name w:val="Body Text 2"/>
    <w:basedOn w:val="a"/>
    <w:rsid w:val="00EE39BA"/>
    <w:pPr>
      <w:spacing w:after="120" w:line="480" w:lineRule="auto"/>
    </w:pPr>
  </w:style>
  <w:style w:type="paragraph" w:customStyle="1" w:styleId="230">
    <w:name w:val="Основной текст с отступом 23"/>
    <w:basedOn w:val="a"/>
    <w:rsid w:val="00C9615E"/>
    <w:pPr>
      <w:suppressAutoHyphens/>
      <w:spacing w:after="120" w:line="480" w:lineRule="auto"/>
      <w:ind w:left="283"/>
    </w:pPr>
  </w:style>
  <w:style w:type="paragraph" w:customStyle="1" w:styleId="330">
    <w:name w:val="Основной текст с отступом 33"/>
    <w:basedOn w:val="a"/>
    <w:rsid w:val="006052BD"/>
    <w:pPr>
      <w:suppressAutoHyphens/>
      <w:spacing w:after="120"/>
      <w:ind w:left="283"/>
    </w:pPr>
    <w:rPr>
      <w:sz w:val="16"/>
      <w:szCs w:val="16"/>
    </w:rPr>
  </w:style>
  <w:style w:type="paragraph" w:customStyle="1" w:styleId="340">
    <w:name w:val="Основной текст с отступом 34"/>
    <w:basedOn w:val="a"/>
    <w:rsid w:val="006052BD"/>
    <w:pPr>
      <w:suppressAutoHyphens/>
      <w:spacing w:after="120"/>
      <w:ind w:left="283"/>
    </w:pPr>
    <w:rPr>
      <w:sz w:val="16"/>
      <w:szCs w:val="16"/>
    </w:rPr>
  </w:style>
  <w:style w:type="character" w:customStyle="1" w:styleId="s11">
    <w:name w:val="s11"/>
    <w:rsid w:val="006052BD"/>
    <w:rPr>
      <w:rFonts w:ascii="Verdana" w:hAnsi="Verdana"/>
      <w:strike w:val="0"/>
      <w:dstrike w:val="0"/>
      <w:color w:val="303030"/>
      <w:sz w:val="16"/>
      <w:szCs w:val="16"/>
      <w:u w:val="none"/>
    </w:rPr>
  </w:style>
  <w:style w:type="character" w:customStyle="1" w:styleId="FontStyle36">
    <w:name w:val="Font Style36"/>
    <w:rsid w:val="006052BD"/>
    <w:rPr>
      <w:rFonts w:ascii="Times New Roman" w:hAnsi="Times New Roman" w:cs="Times New Roman"/>
      <w:i/>
      <w:iCs/>
      <w:sz w:val="24"/>
      <w:szCs w:val="24"/>
    </w:rPr>
  </w:style>
  <w:style w:type="paragraph" w:customStyle="1" w:styleId="textinform">
    <w:name w:val="textinform"/>
    <w:basedOn w:val="a"/>
    <w:rsid w:val="004052D3"/>
    <w:pPr>
      <w:spacing w:after="120"/>
      <w:ind w:left="300"/>
    </w:pPr>
    <w:rPr>
      <w:color w:val="000000"/>
      <w:lang w:val="ru-RU" w:eastAsia="ru-RU"/>
    </w:rPr>
  </w:style>
  <w:style w:type="paragraph" w:styleId="aff0">
    <w:name w:val="Plain Text"/>
    <w:basedOn w:val="a"/>
    <w:rsid w:val="004052D3"/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1b">
    <w:name w:val="Знак Знак1 Знак Знак Знак Знак Знак Знак Знак Знак Знак Знак Знак Знак Знак Знак"/>
    <w:basedOn w:val="a"/>
    <w:rsid w:val="004D77EE"/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"/>
    <w:basedOn w:val="a"/>
    <w:rsid w:val="00A24D6C"/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Знак Знак Знак"/>
    <w:basedOn w:val="a"/>
    <w:rsid w:val="00D8010E"/>
    <w:rPr>
      <w:rFonts w:ascii="Verdana" w:hAnsi="Verdana" w:cs="Verdana"/>
      <w:sz w:val="20"/>
      <w:szCs w:val="20"/>
      <w:lang w:val="en-US" w:eastAsia="en-US"/>
    </w:rPr>
  </w:style>
  <w:style w:type="paragraph" w:customStyle="1" w:styleId="331">
    <w:name w:val="Основной текст 33"/>
    <w:basedOn w:val="a"/>
    <w:rsid w:val="00C26D16"/>
    <w:pPr>
      <w:spacing w:after="120"/>
    </w:pPr>
    <w:rPr>
      <w:sz w:val="16"/>
      <w:szCs w:val="16"/>
    </w:rPr>
  </w:style>
  <w:style w:type="character" w:customStyle="1" w:styleId="24">
    <w:name w:val="Основной текст с отступом 2 Знак"/>
    <w:link w:val="23"/>
    <w:rsid w:val="00C94860"/>
    <w:rPr>
      <w:sz w:val="24"/>
      <w:szCs w:val="24"/>
      <w:lang w:val="uk-UA" w:eastAsia="ar-SA"/>
    </w:rPr>
  </w:style>
  <w:style w:type="character" w:customStyle="1" w:styleId="af2">
    <w:name w:val="Верхний колонтитул Знак"/>
    <w:link w:val="af1"/>
    <w:rsid w:val="00C94860"/>
    <w:rPr>
      <w:sz w:val="24"/>
      <w:szCs w:val="24"/>
      <w:lang w:val="uk-UA" w:eastAsia="ar-SA"/>
    </w:rPr>
  </w:style>
  <w:style w:type="paragraph" w:styleId="aff3">
    <w:name w:val="caption"/>
    <w:basedOn w:val="a"/>
    <w:next w:val="a"/>
    <w:qFormat/>
    <w:rsid w:val="0014695B"/>
    <w:rPr>
      <w:b/>
      <w:szCs w:val="20"/>
      <w:lang w:eastAsia="ru-RU"/>
    </w:rPr>
  </w:style>
  <w:style w:type="paragraph" w:customStyle="1" w:styleId="1c">
    <w:name w:val="Знак Знак Знак1"/>
    <w:basedOn w:val="a"/>
    <w:rsid w:val="00E519EA"/>
    <w:rPr>
      <w:rFonts w:ascii="Verdana" w:hAnsi="Verdana" w:cs="Verdana"/>
      <w:sz w:val="20"/>
      <w:szCs w:val="20"/>
      <w:lang w:val="en-US" w:eastAsia="en-US"/>
    </w:rPr>
  </w:style>
  <w:style w:type="paragraph" w:customStyle="1" w:styleId="211">
    <w:name w:val="Основний текст з відступом 21"/>
    <w:basedOn w:val="a"/>
    <w:rsid w:val="00F32A69"/>
    <w:pPr>
      <w:ind w:firstLine="720"/>
      <w:jc w:val="both"/>
    </w:pPr>
    <w:rPr>
      <w:sz w:val="28"/>
      <w:szCs w:val="20"/>
      <w:lang w:eastAsia="ru-RU"/>
    </w:rPr>
  </w:style>
  <w:style w:type="paragraph" w:customStyle="1" w:styleId="341">
    <w:name w:val="Основной текст 34"/>
    <w:basedOn w:val="a"/>
    <w:rsid w:val="00C60730"/>
    <w:pPr>
      <w:spacing w:after="120"/>
    </w:pPr>
    <w:rPr>
      <w:sz w:val="16"/>
      <w:szCs w:val="16"/>
    </w:rPr>
  </w:style>
  <w:style w:type="paragraph" w:customStyle="1" w:styleId="26">
    <w:name w:val="Название объекта2"/>
    <w:basedOn w:val="a"/>
    <w:next w:val="a"/>
    <w:rsid w:val="00C60730"/>
    <w:rPr>
      <w:b/>
      <w:szCs w:val="20"/>
    </w:rPr>
  </w:style>
  <w:style w:type="paragraph" w:customStyle="1" w:styleId="aff4">
    <w:name w:val="Знак"/>
    <w:basedOn w:val="a"/>
    <w:rsid w:val="001E0BE6"/>
    <w:rPr>
      <w:rFonts w:ascii="Verdana" w:hAnsi="Verdana" w:cs="Verdana"/>
      <w:sz w:val="20"/>
      <w:szCs w:val="20"/>
      <w:lang w:val="en-US" w:eastAsia="en-US"/>
    </w:rPr>
  </w:style>
  <w:style w:type="paragraph" w:customStyle="1" w:styleId="1d">
    <w:name w:val="Знак1"/>
    <w:basedOn w:val="a"/>
    <w:rsid w:val="00760784"/>
    <w:rPr>
      <w:rFonts w:ascii="Verdana" w:hAnsi="Verdana" w:cs="Verdana"/>
      <w:sz w:val="20"/>
      <w:szCs w:val="20"/>
      <w:lang w:val="en-US" w:eastAsia="en-US"/>
    </w:rPr>
  </w:style>
  <w:style w:type="character" w:customStyle="1" w:styleId="34">
    <w:name w:val="Основной текст с отступом 3 Знак"/>
    <w:link w:val="33"/>
    <w:uiPriority w:val="99"/>
    <w:rsid w:val="00D92F0F"/>
    <w:rPr>
      <w:sz w:val="16"/>
      <w:szCs w:val="16"/>
      <w:lang w:val="uk-UA" w:eastAsia="ar-SA" w:bidi="ar-SA"/>
    </w:rPr>
  </w:style>
  <w:style w:type="paragraph" w:customStyle="1" w:styleId="112">
    <w:name w:val="Знак Знак Знак Знак Знак Знак Знак Знак Знак Знак Знак Знак1 Знак Знак Знак Знак Знак Знак1 Знак Знак Знак Знак Знак Знак"/>
    <w:basedOn w:val="a"/>
    <w:rsid w:val="000A04F4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Основной текст Знак"/>
    <w:link w:val="a7"/>
    <w:rsid w:val="004532B2"/>
    <w:rPr>
      <w:b/>
      <w:sz w:val="28"/>
      <w:szCs w:val="24"/>
      <w:lang w:eastAsia="ar-SA"/>
    </w:rPr>
  </w:style>
  <w:style w:type="character" w:customStyle="1" w:styleId="ac">
    <w:name w:val="Основной текст с отступом Знак"/>
    <w:link w:val="ab"/>
    <w:rsid w:val="004532B2"/>
    <w:rPr>
      <w:sz w:val="28"/>
      <w:szCs w:val="28"/>
      <w:lang w:eastAsia="ar-SA"/>
    </w:rPr>
  </w:style>
  <w:style w:type="paragraph" w:customStyle="1" w:styleId="1e">
    <w:name w:val="Знак Знак Знак Знак Знак Знак1 Знак Знак Знак Знак Знак Знак Знак Знак Знак Знак Знак Знак Знак Знак Знак Знак"/>
    <w:basedOn w:val="a"/>
    <w:rsid w:val="00027FE1"/>
    <w:rPr>
      <w:rFonts w:ascii="Verdana" w:hAnsi="Verdana" w:cs="Verdana"/>
      <w:sz w:val="20"/>
      <w:szCs w:val="20"/>
      <w:lang w:val="en-US"/>
    </w:rPr>
  </w:style>
  <w:style w:type="paragraph" w:customStyle="1" w:styleId="1f">
    <w:name w:val="Знак Знак Знак Знак Знак Знак Знак Знак Знак1"/>
    <w:basedOn w:val="a"/>
    <w:rsid w:val="000F0FF7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0">
    <w:name w:val="Char Знак Знак Char Знак Знак Char Знак Знак Char Знак Знак Знак Знак Знак"/>
    <w:basedOn w:val="a"/>
    <w:rsid w:val="00415362"/>
    <w:rPr>
      <w:rFonts w:ascii="Verdana" w:hAnsi="Verdana" w:cs="Verdana"/>
      <w:sz w:val="20"/>
      <w:szCs w:val="20"/>
      <w:lang w:val="en-US" w:eastAsia="en-US"/>
    </w:rPr>
  </w:style>
  <w:style w:type="paragraph" w:styleId="aff5">
    <w:name w:val="Document Map"/>
    <w:basedOn w:val="a"/>
    <w:semiHidden/>
    <w:rsid w:val="00BC16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9">
    <w:name w:val="Знак Знак9"/>
    <w:locked/>
    <w:rsid w:val="002A4EC4"/>
    <w:rPr>
      <w:b/>
      <w:sz w:val="28"/>
      <w:szCs w:val="24"/>
      <w:lang w:val="uk-UA" w:eastAsia="ar-SA" w:bidi="ar-SA"/>
    </w:rPr>
  </w:style>
  <w:style w:type="character" w:customStyle="1" w:styleId="80">
    <w:name w:val="Знак Знак8"/>
    <w:locked/>
    <w:rsid w:val="002A4EC4"/>
    <w:rPr>
      <w:sz w:val="28"/>
      <w:szCs w:val="28"/>
      <w:lang w:val="uk-UA" w:eastAsia="ar-SA" w:bidi="ar-SA"/>
    </w:rPr>
  </w:style>
  <w:style w:type="paragraph" w:customStyle="1" w:styleId="40">
    <w:name w:val="Знак Знак4"/>
    <w:basedOn w:val="a"/>
    <w:rsid w:val="003C7F8E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3">
    <w:name w:val="Char Знак Знак Char Знак Знак Char Знак Знак Char Знак Знак Знак Знак Знак Знак Знак Знак3"/>
    <w:basedOn w:val="a"/>
    <w:rsid w:val="00A042C9"/>
    <w:rPr>
      <w:rFonts w:ascii="Verdana" w:hAnsi="Verdana" w:cs="Verdana"/>
      <w:sz w:val="20"/>
      <w:szCs w:val="20"/>
      <w:lang w:val="en-US" w:eastAsia="en-US"/>
    </w:rPr>
  </w:style>
  <w:style w:type="paragraph" w:customStyle="1" w:styleId="1f0">
    <w:name w:val="Знак Знак1 Знак Знак"/>
    <w:basedOn w:val="a"/>
    <w:rsid w:val="00566C6A"/>
    <w:rPr>
      <w:rFonts w:ascii="Verdana" w:hAnsi="Verdana" w:cs="Verdana"/>
      <w:sz w:val="20"/>
      <w:szCs w:val="20"/>
      <w:lang w:val="en-US" w:eastAsia="en-US"/>
    </w:rPr>
  </w:style>
  <w:style w:type="character" w:customStyle="1" w:styleId="6">
    <w:name w:val="Основной текст + Курсив6"/>
    <w:rsid w:val="00B45CF9"/>
    <w:rPr>
      <w:rFonts w:ascii="Times New Roman" w:hAnsi="Times New Roman" w:cs="Times New Roman"/>
      <w:i/>
      <w:spacing w:val="0"/>
      <w:sz w:val="27"/>
    </w:rPr>
  </w:style>
  <w:style w:type="paragraph" w:customStyle="1" w:styleId="100">
    <w:name w:val="Знак Знак10 Знак Знак Знак Знак Знак Знак"/>
    <w:basedOn w:val="a"/>
    <w:rsid w:val="00226AAC"/>
    <w:rPr>
      <w:rFonts w:ascii="Verdana" w:hAnsi="Verdana" w:cs="Verdana"/>
      <w:sz w:val="20"/>
      <w:szCs w:val="20"/>
      <w:lang w:val="en-US" w:eastAsia="en-US"/>
    </w:rPr>
  </w:style>
  <w:style w:type="paragraph" w:customStyle="1" w:styleId="1f1">
    <w:name w:val="Без интервала1"/>
    <w:uiPriority w:val="1"/>
    <w:qFormat/>
    <w:rsid w:val="00226AAC"/>
    <w:rPr>
      <w:rFonts w:ascii="Calibri" w:hAnsi="Calibri"/>
      <w:sz w:val="22"/>
      <w:szCs w:val="22"/>
      <w:lang w:val="uk-UA" w:eastAsia="en-US"/>
    </w:rPr>
  </w:style>
  <w:style w:type="paragraph" w:customStyle="1" w:styleId="212">
    <w:name w:val="Знак Знак21"/>
    <w:basedOn w:val="a"/>
    <w:rsid w:val="007A4CF2"/>
    <w:rPr>
      <w:rFonts w:ascii="Verdana" w:hAnsi="Verdana" w:cs="Verdana"/>
      <w:sz w:val="20"/>
      <w:szCs w:val="20"/>
      <w:lang w:val="en-US" w:eastAsia="en-US"/>
    </w:rPr>
  </w:style>
  <w:style w:type="character" w:styleId="aff6">
    <w:name w:val="Emphasis"/>
    <w:basedOn w:val="a0"/>
    <w:qFormat/>
    <w:rsid w:val="006C6AC1"/>
    <w:rPr>
      <w:rFonts w:cs="Times New Roman"/>
      <w:i/>
      <w:iCs/>
    </w:rPr>
  </w:style>
  <w:style w:type="paragraph" w:styleId="aff7">
    <w:name w:val="List Paragraph"/>
    <w:basedOn w:val="a"/>
    <w:uiPriority w:val="34"/>
    <w:qFormat/>
    <w:rsid w:val="00AD0060"/>
    <w:pPr>
      <w:ind w:left="720"/>
      <w:contextualSpacing/>
    </w:pPr>
  </w:style>
  <w:style w:type="paragraph" w:styleId="aff8">
    <w:name w:val="endnote text"/>
    <w:basedOn w:val="a"/>
    <w:link w:val="aff9"/>
    <w:semiHidden/>
    <w:unhideWhenUsed/>
    <w:rsid w:val="00E44867"/>
    <w:rPr>
      <w:sz w:val="20"/>
      <w:szCs w:val="20"/>
    </w:rPr>
  </w:style>
  <w:style w:type="character" w:customStyle="1" w:styleId="aff9">
    <w:name w:val="Текст концевой сноски Знак"/>
    <w:basedOn w:val="a0"/>
    <w:link w:val="aff8"/>
    <w:semiHidden/>
    <w:rsid w:val="00E44867"/>
    <w:rPr>
      <w:lang w:val="uk-UA" w:eastAsia="ar-SA"/>
    </w:rPr>
  </w:style>
  <w:style w:type="character" w:styleId="affa">
    <w:name w:val="endnote reference"/>
    <w:basedOn w:val="a0"/>
    <w:semiHidden/>
    <w:unhideWhenUsed/>
    <w:rsid w:val="00E448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ninvest.com.ua/" TargetMode="External"/><Relationship Id="rId13" Type="http://schemas.openxmlformats.org/officeDocument/2006/relationships/hyperlink" Target="http://www.vininvest.com.ua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vininvest.com.ua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ininvest.com.ua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vininvest.com.u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ininvest.com.ua/" TargetMode="External"/><Relationship Id="rId14" Type="http://schemas.openxmlformats.org/officeDocument/2006/relationships/hyperlink" Target="http://www.vininvest.com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61E806-0EA5-409D-8469-79A909FBA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2474</TotalTime>
  <Pages>19</Pages>
  <Words>42415</Words>
  <Characters>24177</Characters>
  <Application>Microsoft Office Word</Application>
  <DocSecurity>0</DocSecurity>
  <Lines>201</Lines>
  <Paragraphs>132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ПРОМИСЛОВЕ ВИРОБНИЦТВО</vt:lpstr>
      <vt:lpstr>ПРОМИСЛОВЕ ВИРОБНИЦТВО</vt:lpstr>
    </vt:vector>
  </TitlesOfParts>
  <Company>Головне управління економіки</Company>
  <LinksUpToDate>false</LinksUpToDate>
  <CharactersWithSpaces>66460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ПРОМИСЛОВЕ ВИРОБНИЦТВО</dc:title>
  <dc:subject/>
  <dc:creator>Гринев</dc:creator>
  <cp:keywords/>
  <dc:description/>
  <cp:lastModifiedBy>anna</cp:lastModifiedBy>
  <cp:revision>23</cp:revision>
  <cp:lastPrinted>2016-04-12T12:51:00Z</cp:lastPrinted>
  <dcterms:created xsi:type="dcterms:W3CDTF">2015-06-09T06:32:00Z</dcterms:created>
  <dcterms:modified xsi:type="dcterms:W3CDTF">2016-06-08T06:25:00Z</dcterms:modified>
</cp:coreProperties>
</file>